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84601" w14:textId="3DF1D62E" w:rsidR="00202074" w:rsidRPr="00202074" w:rsidRDefault="003360C6" w:rsidP="001F1D04">
      <w:pPr>
        <w:spacing w:after="0" w:line="276" w:lineRule="auto"/>
        <w:jc w:val="both"/>
        <w:rPr>
          <w:rFonts w:ascii="Arial" w:hAnsi="Arial" w:cs="Arial"/>
          <w:sz w:val="20"/>
          <w:szCs w:val="20"/>
        </w:rPr>
      </w:pPr>
      <w:r>
        <w:rPr>
          <w:rFonts w:ascii="Arial" w:hAnsi="Arial" w:cs="Arial"/>
          <w:sz w:val="20"/>
          <w:szCs w:val="20"/>
        </w:rPr>
        <w:t xml:space="preserve">……………………….., dnia </w:t>
      </w:r>
      <w:r w:rsidR="00202074" w:rsidRPr="00202074">
        <w:rPr>
          <w:rFonts w:ascii="Arial" w:hAnsi="Arial" w:cs="Arial"/>
          <w:sz w:val="20"/>
          <w:szCs w:val="20"/>
        </w:rPr>
        <w:t>22 października 2026 r.</w:t>
      </w:r>
    </w:p>
    <w:p w14:paraId="393869B0" w14:textId="77777777" w:rsidR="003360C6" w:rsidRDefault="003360C6" w:rsidP="001F1D04">
      <w:pPr>
        <w:spacing w:after="0" w:line="276" w:lineRule="auto"/>
        <w:jc w:val="both"/>
        <w:rPr>
          <w:rFonts w:ascii="Arial" w:hAnsi="Arial" w:cs="Arial"/>
          <w:b/>
          <w:bCs/>
          <w:sz w:val="20"/>
          <w:szCs w:val="20"/>
        </w:rPr>
      </w:pPr>
    </w:p>
    <w:p w14:paraId="6146031E" w14:textId="77777777" w:rsidR="001F1D04" w:rsidRDefault="00202074" w:rsidP="001F1D04">
      <w:pPr>
        <w:spacing w:after="0" w:line="276" w:lineRule="auto"/>
        <w:jc w:val="both"/>
        <w:rPr>
          <w:rFonts w:ascii="Arial" w:hAnsi="Arial" w:cs="Arial"/>
          <w:sz w:val="20"/>
          <w:szCs w:val="20"/>
        </w:rPr>
      </w:pPr>
      <w:r w:rsidRPr="00202074">
        <w:rPr>
          <w:rFonts w:ascii="Arial" w:hAnsi="Arial" w:cs="Arial"/>
          <w:b/>
          <w:bCs/>
          <w:sz w:val="20"/>
          <w:szCs w:val="20"/>
        </w:rPr>
        <w:t>Obywatel/Obywatele Rzeczypospolitej Polskiej</w:t>
      </w:r>
    </w:p>
    <w:p w14:paraId="51ACAC36" w14:textId="77777777" w:rsidR="001F1D04" w:rsidRDefault="001F1D04" w:rsidP="001F1D04">
      <w:pPr>
        <w:spacing w:after="0" w:line="276" w:lineRule="auto"/>
        <w:jc w:val="both"/>
        <w:rPr>
          <w:rFonts w:ascii="Arial" w:hAnsi="Arial" w:cs="Arial"/>
          <w:sz w:val="20"/>
          <w:szCs w:val="20"/>
        </w:rPr>
      </w:pPr>
    </w:p>
    <w:p w14:paraId="25C529A0" w14:textId="55F2762E" w:rsidR="003360C6" w:rsidRPr="00202074" w:rsidRDefault="003360C6" w:rsidP="001F1D04">
      <w:pPr>
        <w:spacing w:after="0" w:line="276" w:lineRule="auto"/>
        <w:jc w:val="both"/>
        <w:rPr>
          <w:rFonts w:ascii="Arial" w:hAnsi="Arial" w:cs="Arial"/>
          <w:sz w:val="20"/>
          <w:szCs w:val="20"/>
        </w:rPr>
      </w:pPr>
      <w:r>
        <w:rPr>
          <w:rFonts w:ascii="Arial" w:hAnsi="Arial" w:cs="Arial"/>
          <w:sz w:val="20"/>
          <w:szCs w:val="20"/>
        </w:rPr>
        <w:t>Do:</w:t>
      </w:r>
    </w:p>
    <w:p w14:paraId="643AB387" w14:textId="77777777" w:rsidR="003360C6" w:rsidRDefault="003360C6" w:rsidP="001F1D04">
      <w:pPr>
        <w:spacing w:after="0" w:line="276" w:lineRule="auto"/>
        <w:jc w:val="both"/>
        <w:rPr>
          <w:rFonts w:ascii="Arial" w:hAnsi="Arial" w:cs="Arial"/>
          <w:b/>
          <w:bCs/>
          <w:sz w:val="20"/>
          <w:szCs w:val="20"/>
        </w:rPr>
      </w:pPr>
    </w:p>
    <w:p w14:paraId="30B876B2" w14:textId="77777777" w:rsidR="001F1D04" w:rsidRDefault="00202074" w:rsidP="001F1D04">
      <w:pPr>
        <w:spacing w:after="0" w:line="276" w:lineRule="auto"/>
        <w:jc w:val="both"/>
        <w:rPr>
          <w:rFonts w:ascii="Arial" w:hAnsi="Arial" w:cs="Arial"/>
          <w:sz w:val="20"/>
          <w:szCs w:val="20"/>
        </w:rPr>
      </w:pPr>
      <w:r w:rsidRPr="00202074">
        <w:rPr>
          <w:rFonts w:ascii="Arial" w:hAnsi="Arial" w:cs="Arial"/>
          <w:b/>
          <w:bCs/>
          <w:sz w:val="20"/>
          <w:szCs w:val="20"/>
        </w:rPr>
        <w:t>Pan</w:t>
      </w:r>
      <w:r w:rsidR="003360C6">
        <w:rPr>
          <w:rFonts w:ascii="Arial" w:hAnsi="Arial" w:cs="Arial"/>
          <w:sz w:val="20"/>
          <w:szCs w:val="20"/>
        </w:rPr>
        <w:t xml:space="preserve"> </w:t>
      </w:r>
      <w:r w:rsidRPr="00202074">
        <w:rPr>
          <w:rFonts w:ascii="Arial" w:hAnsi="Arial" w:cs="Arial"/>
          <w:b/>
          <w:bCs/>
          <w:sz w:val="20"/>
          <w:szCs w:val="20"/>
        </w:rPr>
        <w:t>Donald Tusk</w:t>
      </w:r>
    </w:p>
    <w:p w14:paraId="010432B0" w14:textId="778126BF" w:rsidR="001F1D04" w:rsidRDefault="00202074" w:rsidP="001F1D04">
      <w:pPr>
        <w:spacing w:after="0" w:line="276" w:lineRule="auto"/>
        <w:jc w:val="both"/>
        <w:rPr>
          <w:rFonts w:ascii="Arial" w:hAnsi="Arial" w:cs="Arial"/>
          <w:sz w:val="20"/>
          <w:szCs w:val="20"/>
        </w:rPr>
      </w:pPr>
      <w:r w:rsidRPr="00202074">
        <w:rPr>
          <w:rFonts w:ascii="Arial" w:hAnsi="Arial" w:cs="Arial"/>
          <w:b/>
          <w:bCs/>
          <w:sz w:val="20"/>
          <w:szCs w:val="20"/>
        </w:rPr>
        <w:t>Prezes Rady Ministrów</w:t>
      </w:r>
    </w:p>
    <w:p w14:paraId="795BB2C4" w14:textId="09FE6F65" w:rsidR="001F1D04" w:rsidRDefault="00202074" w:rsidP="001F1D04">
      <w:pPr>
        <w:spacing w:after="0" w:line="276" w:lineRule="auto"/>
        <w:jc w:val="both"/>
        <w:rPr>
          <w:rFonts w:ascii="Arial" w:hAnsi="Arial" w:cs="Arial"/>
          <w:sz w:val="20"/>
          <w:szCs w:val="20"/>
        </w:rPr>
      </w:pPr>
      <w:r w:rsidRPr="00202074">
        <w:rPr>
          <w:rFonts w:ascii="Arial" w:hAnsi="Arial" w:cs="Arial"/>
          <w:sz w:val="20"/>
          <w:szCs w:val="20"/>
        </w:rPr>
        <w:t>Al. Ujazdowskie 1/3</w:t>
      </w:r>
    </w:p>
    <w:p w14:paraId="424E8C4C" w14:textId="2BB27C6A"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00-583 Warszawa</w:t>
      </w:r>
    </w:p>
    <w:p w14:paraId="5A692775" w14:textId="77777777" w:rsidR="00202074" w:rsidRPr="00202074" w:rsidRDefault="00202074" w:rsidP="001F1D04">
      <w:pPr>
        <w:spacing w:after="0" w:line="276" w:lineRule="auto"/>
        <w:jc w:val="center"/>
        <w:rPr>
          <w:rFonts w:ascii="Arial" w:hAnsi="Arial" w:cs="Arial"/>
          <w:b/>
          <w:bCs/>
          <w:sz w:val="20"/>
          <w:szCs w:val="20"/>
        </w:rPr>
      </w:pPr>
      <w:r w:rsidRPr="00202074">
        <w:rPr>
          <w:rFonts w:ascii="Arial" w:hAnsi="Arial" w:cs="Arial"/>
          <w:b/>
          <w:bCs/>
          <w:sz w:val="20"/>
          <w:szCs w:val="20"/>
        </w:rPr>
        <w:t>SPRZECIW OBYWATELSKI</w:t>
      </w:r>
    </w:p>
    <w:p w14:paraId="0F1BAA45" w14:textId="77777777" w:rsidR="00202074" w:rsidRPr="00202074" w:rsidRDefault="00202074" w:rsidP="001F1D04">
      <w:pPr>
        <w:spacing w:after="0" w:line="276" w:lineRule="auto"/>
        <w:jc w:val="both"/>
        <w:rPr>
          <w:rFonts w:ascii="Arial" w:hAnsi="Arial" w:cs="Arial"/>
          <w:sz w:val="20"/>
          <w:szCs w:val="20"/>
        </w:rPr>
      </w:pPr>
      <w:r w:rsidRPr="00202074">
        <w:rPr>
          <w:rFonts w:ascii="Arial" w:hAnsi="Arial" w:cs="Arial"/>
          <w:b/>
          <w:bCs/>
          <w:sz w:val="20"/>
          <w:szCs w:val="20"/>
        </w:rPr>
        <w:t xml:space="preserve">wobec rządowego projektu </w:t>
      </w:r>
      <w:hyperlink r:id="rId7" w:tgtFrame="_blank" w:history="1">
        <w:r w:rsidRPr="00202074">
          <w:rPr>
            <w:rStyle w:val="Hipercze"/>
            <w:rFonts w:ascii="Arial" w:hAnsi="Arial" w:cs="Arial"/>
            <w:sz w:val="20"/>
            <w:szCs w:val="20"/>
          </w:rPr>
          <w:t>ustawy o środkach ograniczających</w:t>
        </w:r>
      </w:hyperlink>
      <w:r w:rsidRPr="00202074">
        <w:rPr>
          <w:rFonts w:ascii="Arial" w:hAnsi="Arial" w:cs="Arial"/>
          <w:b/>
          <w:bCs/>
          <w:sz w:val="20"/>
          <w:szCs w:val="20"/>
        </w:rPr>
        <w:t xml:space="preserve"> (Druk Sejmowy nr 3003)</w:t>
      </w:r>
    </w:p>
    <w:p w14:paraId="77BB587D" w14:textId="77777777" w:rsidR="003360C6" w:rsidRDefault="003360C6" w:rsidP="001F1D04">
      <w:pPr>
        <w:spacing w:after="0" w:line="276" w:lineRule="auto"/>
        <w:jc w:val="both"/>
        <w:rPr>
          <w:rFonts w:ascii="Arial" w:hAnsi="Arial" w:cs="Arial"/>
          <w:sz w:val="20"/>
          <w:szCs w:val="20"/>
        </w:rPr>
      </w:pPr>
    </w:p>
    <w:p w14:paraId="335FC8B9" w14:textId="3B063210"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Działając w trosce o porządek konstytucyjny Rzeczypospolitej Polskiej oraz fundamentalne prawa i wolności obywatelskie, składam stanowczy sprzeciw wobec rządowego projektu ustawy o środkach ograniczających (Druk nr 3003), nad którym aktualnie proceduje Sejm RP.</w:t>
      </w:r>
    </w:p>
    <w:p w14:paraId="7CA428C3" w14:textId="77777777"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 xml:space="preserve">Jako obywatele rozumiemy powagę sytuacji geopolitycznej oraz konieczność ochrony państwa przed zagrożeniami hybrydowymi i obcą dezinformacją (FIMI). Jednakże cele te nie mogą być realizowane poprzez demontaż konstytucyjnych fundamentów demokratycznego państwa prawnego. Przedłożony przez Radę Ministrów projekt w obecnym kształcie wprowadza narzędzia o charakterze autorytarnym, rażąco naruszając </w:t>
      </w:r>
      <w:hyperlink r:id="rId8" w:tgtFrame="_blank" w:history="1">
        <w:r w:rsidRPr="00202074">
          <w:rPr>
            <w:rStyle w:val="Hipercze"/>
            <w:rFonts w:ascii="Arial" w:hAnsi="Arial" w:cs="Arial"/>
            <w:sz w:val="20"/>
            <w:szCs w:val="20"/>
          </w:rPr>
          <w:t>Konstytucję RP</w:t>
        </w:r>
      </w:hyperlink>
      <w:r w:rsidRPr="00202074">
        <w:rPr>
          <w:rFonts w:ascii="Arial" w:hAnsi="Arial" w:cs="Arial"/>
          <w:sz w:val="20"/>
          <w:szCs w:val="20"/>
        </w:rPr>
        <w:t xml:space="preserve"> oraz standardy unijne.</w:t>
      </w:r>
    </w:p>
    <w:p w14:paraId="40BCAC96" w14:textId="36782CE3" w:rsidR="00202074" w:rsidRPr="00202074" w:rsidRDefault="00610CFE" w:rsidP="001F1D04">
      <w:pPr>
        <w:spacing w:after="0" w:line="276" w:lineRule="auto"/>
        <w:jc w:val="both"/>
        <w:rPr>
          <w:rFonts w:ascii="Arial" w:hAnsi="Arial" w:cs="Arial"/>
          <w:sz w:val="20"/>
          <w:szCs w:val="20"/>
        </w:rPr>
      </w:pPr>
      <w:r>
        <w:rPr>
          <w:rFonts w:ascii="Arial" w:hAnsi="Arial" w:cs="Arial"/>
          <w:sz w:val="20"/>
          <w:szCs w:val="20"/>
        </w:rPr>
        <w:t>Wzywamy do</w:t>
      </w:r>
      <w:r w:rsidR="00202074" w:rsidRPr="00202074">
        <w:rPr>
          <w:rFonts w:ascii="Arial" w:hAnsi="Arial" w:cs="Arial"/>
          <w:sz w:val="20"/>
          <w:szCs w:val="20"/>
        </w:rPr>
        <w:t xml:space="preserve"> </w:t>
      </w:r>
      <w:r w:rsidR="00202074" w:rsidRPr="00202074">
        <w:rPr>
          <w:rFonts w:ascii="Arial" w:hAnsi="Arial" w:cs="Arial"/>
          <w:b/>
          <w:bCs/>
          <w:sz w:val="20"/>
          <w:szCs w:val="20"/>
        </w:rPr>
        <w:t>natychmiastowe</w:t>
      </w:r>
      <w:r>
        <w:rPr>
          <w:rFonts w:ascii="Arial" w:hAnsi="Arial" w:cs="Arial"/>
          <w:b/>
          <w:bCs/>
          <w:sz w:val="20"/>
          <w:szCs w:val="20"/>
        </w:rPr>
        <w:t>go</w:t>
      </w:r>
      <w:r w:rsidR="00202074" w:rsidRPr="00202074">
        <w:rPr>
          <w:rFonts w:ascii="Arial" w:hAnsi="Arial" w:cs="Arial"/>
          <w:b/>
          <w:bCs/>
          <w:sz w:val="20"/>
          <w:szCs w:val="20"/>
        </w:rPr>
        <w:t xml:space="preserve"> wycofani</w:t>
      </w:r>
      <w:r>
        <w:rPr>
          <w:rFonts w:ascii="Arial" w:hAnsi="Arial" w:cs="Arial"/>
          <w:b/>
          <w:bCs/>
          <w:sz w:val="20"/>
          <w:szCs w:val="20"/>
        </w:rPr>
        <w:t>a</w:t>
      </w:r>
      <w:r w:rsidR="00202074" w:rsidRPr="00202074">
        <w:rPr>
          <w:rFonts w:ascii="Arial" w:hAnsi="Arial" w:cs="Arial"/>
          <w:b/>
          <w:bCs/>
          <w:sz w:val="20"/>
          <w:szCs w:val="20"/>
        </w:rPr>
        <w:t xml:space="preserve"> projektu z dalszych prac legislacyjnych</w:t>
      </w:r>
      <w:r w:rsidR="00202074" w:rsidRPr="00202074">
        <w:rPr>
          <w:rFonts w:ascii="Arial" w:hAnsi="Arial" w:cs="Arial"/>
          <w:sz w:val="20"/>
          <w:szCs w:val="20"/>
        </w:rPr>
        <w:t xml:space="preserve"> bądź o jego </w:t>
      </w:r>
      <w:r w:rsidR="00202074" w:rsidRPr="00202074">
        <w:rPr>
          <w:rFonts w:ascii="Arial" w:hAnsi="Arial" w:cs="Arial"/>
          <w:b/>
          <w:bCs/>
          <w:sz w:val="20"/>
          <w:szCs w:val="20"/>
        </w:rPr>
        <w:t>gruntowną redakcję</w:t>
      </w:r>
      <w:r w:rsidR="00202074" w:rsidRPr="00202074">
        <w:rPr>
          <w:rFonts w:ascii="Arial" w:hAnsi="Arial" w:cs="Arial"/>
          <w:sz w:val="20"/>
          <w:szCs w:val="20"/>
        </w:rPr>
        <w:t>, która przywróci pełną kontrolę niezawisłych sądów nad działaniami aparatu urzędniczego.</w:t>
      </w:r>
    </w:p>
    <w:p w14:paraId="3F9BB664" w14:textId="77777777" w:rsidR="00610CFE" w:rsidRPr="00202074" w:rsidRDefault="00610CFE" w:rsidP="001F1D04">
      <w:pPr>
        <w:spacing w:after="0" w:line="276" w:lineRule="auto"/>
        <w:jc w:val="both"/>
        <w:rPr>
          <w:rFonts w:ascii="Arial" w:hAnsi="Arial" w:cs="Arial"/>
          <w:sz w:val="20"/>
          <w:szCs w:val="20"/>
        </w:rPr>
      </w:pPr>
    </w:p>
    <w:p w14:paraId="29B1111A" w14:textId="77777777" w:rsidR="00202074" w:rsidRPr="00202074" w:rsidRDefault="00202074" w:rsidP="001F1D04">
      <w:pPr>
        <w:spacing w:after="0" w:line="276" w:lineRule="auto"/>
        <w:jc w:val="both"/>
        <w:rPr>
          <w:rFonts w:ascii="Arial" w:hAnsi="Arial" w:cs="Arial"/>
          <w:b/>
          <w:bCs/>
          <w:sz w:val="20"/>
          <w:szCs w:val="20"/>
        </w:rPr>
      </w:pPr>
      <w:r w:rsidRPr="00202074">
        <w:rPr>
          <w:rFonts w:ascii="Arial" w:hAnsi="Arial" w:cs="Arial"/>
          <w:b/>
          <w:bCs/>
          <w:sz w:val="20"/>
          <w:szCs w:val="20"/>
        </w:rPr>
        <w:t>SZCZEGÓŁOWA ARGUMENTACJA PRAWNA I USTROJOWA</w:t>
      </w:r>
    </w:p>
    <w:p w14:paraId="0014AAA5" w14:textId="77777777" w:rsidR="001F1D04" w:rsidRDefault="001F1D04" w:rsidP="001F1D04">
      <w:pPr>
        <w:spacing w:after="0" w:line="276" w:lineRule="auto"/>
        <w:jc w:val="both"/>
        <w:rPr>
          <w:rFonts w:ascii="Arial" w:hAnsi="Arial" w:cs="Arial"/>
          <w:b/>
          <w:bCs/>
          <w:sz w:val="20"/>
          <w:szCs w:val="20"/>
        </w:rPr>
      </w:pPr>
    </w:p>
    <w:p w14:paraId="08E9E53F" w14:textId="1B626D83" w:rsidR="00202074" w:rsidRPr="001F1D04" w:rsidRDefault="00202074" w:rsidP="001F1D04">
      <w:pPr>
        <w:pStyle w:val="Akapitzlist"/>
        <w:numPr>
          <w:ilvl w:val="0"/>
          <w:numId w:val="5"/>
        </w:numPr>
        <w:spacing w:after="0" w:line="276" w:lineRule="auto"/>
        <w:jc w:val="both"/>
        <w:rPr>
          <w:rFonts w:ascii="Arial" w:hAnsi="Arial" w:cs="Arial"/>
          <w:b/>
          <w:bCs/>
          <w:sz w:val="20"/>
          <w:szCs w:val="20"/>
        </w:rPr>
      </w:pPr>
      <w:r w:rsidRPr="001F1D04">
        <w:rPr>
          <w:rFonts w:ascii="Arial" w:hAnsi="Arial" w:cs="Arial"/>
          <w:b/>
          <w:bCs/>
          <w:sz w:val="20"/>
          <w:szCs w:val="20"/>
        </w:rPr>
        <w:t>Zamach na zasadę trójpodziału władzy i prawo do sądu (art. 10 i art. 45 Konstytucji RP)</w:t>
      </w:r>
    </w:p>
    <w:p w14:paraId="493BEF91" w14:textId="77777777" w:rsidR="001F1D04" w:rsidRPr="001F1D04" w:rsidRDefault="001F1D04" w:rsidP="001F1D04">
      <w:pPr>
        <w:pStyle w:val="Akapitzlist"/>
        <w:spacing w:after="0" w:line="276" w:lineRule="auto"/>
        <w:jc w:val="both"/>
        <w:rPr>
          <w:rFonts w:ascii="Arial" w:hAnsi="Arial" w:cs="Arial"/>
          <w:b/>
          <w:bCs/>
          <w:sz w:val="20"/>
          <w:szCs w:val="20"/>
        </w:rPr>
      </w:pPr>
    </w:p>
    <w:p w14:paraId="100C4A5A" w14:textId="77777777"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 xml:space="preserve">Projekt ustawy powierza </w:t>
      </w:r>
      <w:hyperlink r:id="rId9" w:tgtFrame="_blank" w:history="1">
        <w:r w:rsidRPr="00202074">
          <w:rPr>
            <w:rStyle w:val="Hipercze"/>
            <w:rFonts w:ascii="Arial" w:hAnsi="Arial" w:cs="Arial"/>
            <w:sz w:val="20"/>
            <w:szCs w:val="20"/>
          </w:rPr>
          <w:t>Ministrowi Spraw Wewnętrznych i Administracji</w:t>
        </w:r>
      </w:hyperlink>
      <w:r w:rsidRPr="00202074">
        <w:rPr>
          <w:rFonts w:ascii="Arial" w:hAnsi="Arial" w:cs="Arial"/>
          <w:sz w:val="20"/>
          <w:szCs w:val="20"/>
        </w:rPr>
        <w:t xml:space="preserve"> (MSWiA) arbitralną władzę wpisywania osób fizycznych oraz podmiotów gospodarczych na krajową listę sankcyjną, co skutkuje natychmiastowym zablokowaniem ich majątku. Przeniesienie tak głębokich, represyjnych kompetencji na grunt jednoosobowych decyzji urzędnika władzy wykonawczej – </w:t>
      </w:r>
      <w:r w:rsidRPr="00202074">
        <w:rPr>
          <w:rFonts w:ascii="Arial" w:hAnsi="Arial" w:cs="Arial"/>
          <w:b/>
          <w:bCs/>
          <w:sz w:val="20"/>
          <w:szCs w:val="20"/>
        </w:rPr>
        <w:t>bez uprzedniego wyroku niezawisłego sądu</w:t>
      </w:r>
      <w:r w:rsidRPr="00202074">
        <w:rPr>
          <w:rFonts w:ascii="Arial" w:hAnsi="Arial" w:cs="Arial"/>
          <w:sz w:val="20"/>
          <w:szCs w:val="20"/>
        </w:rPr>
        <w:t xml:space="preserve"> – stanowi bezpośrednie pogwałcenie zasady trójpodziału władzy (art. 10 Konstytucji) oraz prawa każdego obywatela do sprawiedliwego i jawnego rozpatrzenia sprawy przez właściwy, niezależny i bezstronny sąd (art. 45 Konstytucji).</w:t>
      </w:r>
    </w:p>
    <w:p w14:paraId="2A6E9246" w14:textId="77777777" w:rsidR="001F1D04" w:rsidRDefault="001F1D04" w:rsidP="001F1D04">
      <w:pPr>
        <w:spacing w:after="0" w:line="276" w:lineRule="auto"/>
        <w:jc w:val="both"/>
        <w:rPr>
          <w:rFonts w:ascii="Arial" w:hAnsi="Arial" w:cs="Arial"/>
          <w:b/>
          <w:bCs/>
          <w:sz w:val="20"/>
          <w:szCs w:val="20"/>
        </w:rPr>
      </w:pPr>
    </w:p>
    <w:p w14:paraId="428D1578" w14:textId="47209957" w:rsidR="00202074" w:rsidRPr="001F1D04" w:rsidRDefault="00202074" w:rsidP="001F1D04">
      <w:pPr>
        <w:pStyle w:val="Akapitzlist"/>
        <w:numPr>
          <w:ilvl w:val="0"/>
          <w:numId w:val="5"/>
        </w:numPr>
        <w:spacing w:after="0" w:line="276" w:lineRule="auto"/>
        <w:jc w:val="both"/>
        <w:rPr>
          <w:rFonts w:ascii="Arial" w:hAnsi="Arial" w:cs="Arial"/>
          <w:b/>
          <w:bCs/>
          <w:sz w:val="20"/>
          <w:szCs w:val="20"/>
        </w:rPr>
      </w:pPr>
      <w:r w:rsidRPr="001F1D04">
        <w:rPr>
          <w:rFonts w:ascii="Arial" w:hAnsi="Arial" w:cs="Arial"/>
          <w:b/>
          <w:bCs/>
          <w:sz w:val="20"/>
          <w:szCs w:val="20"/>
        </w:rPr>
        <w:t>Iluzoryczność prawa do obrony i destrukcyjny rygor natychmiastowej wykonalności (art. 42, art. 78 i art. 77 Konstytucji RP)</w:t>
      </w:r>
    </w:p>
    <w:p w14:paraId="00F4B717" w14:textId="77777777" w:rsidR="001F1D04" w:rsidRPr="001F1D04" w:rsidRDefault="001F1D04" w:rsidP="001F1D04">
      <w:pPr>
        <w:pStyle w:val="Akapitzlist"/>
        <w:spacing w:after="0" w:line="276" w:lineRule="auto"/>
        <w:jc w:val="both"/>
        <w:rPr>
          <w:rFonts w:ascii="Arial" w:hAnsi="Arial" w:cs="Arial"/>
          <w:b/>
          <w:bCs/>
          <w:sz w:val="20"/>
          <w:szCs w:val="20"/>
        </w:rPr>
      </w:pPr>
    </w:p>
    <w:p w14:paraId="397D6DF7" w14:textId="77777777" w:rsid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Decyzje MSWiA mają podlegać natychmiastowemu wykonaniu, a wniesienie skargi do sądu administracyjnego nie wstrzymuje automatycznie ich skutków ekonomicznych. W praktyce oznacza to, że obywatel lub przedsiębiorca może zostać doprowadzony do bankructwa i nieodwracalnej utraty reputacji na długo przed tym, jak jakikolwiek sąd zbada zasadność zarzutów. Ponieważ uzasadnienie decyzji MSWiA może opierać się na tajnych materiałach służb (np. ABW), oskarżony zostaje pozbawiony realnego prawa do obrony. Ponadto ustawa nie przewiduje jednoznacznej odpowiedzialności odszkodowawczej Skarbu Państwa (art. 77 Konstytucji) za szkody wyrządzone błędnym wpisem, przerzucając całe ryzyko pomyłki aparatu państwowego na obywatela.</w:t>
      </w:r>
    </w:p>
    <w:p w14:paraId="4333FD98" w14:textId="77777777" w:rsidR="001F1D04" w:rsidRPr="00202074" w:rsidRDefault="001F1D04" w:rsidP="001F1D04">
      <w:pPr>
        <w:spacing w:after="0" w:line="276" w:lineRule="auto"/>
        <w:jc w:val="both"/>
        <w:rPr>
          <w:rFonts w:ascii="Arial" w:hAnsi="Arial" w:cs="Arial"/>
          <w:sz w:val="20"/>
          <w:szCs w:val="20"/>
        </w:rPr>
      </w:pPr>
    </w:p>
    <w:p w14:paraId="1BF0809D" w14:textId="4AF88CA6" w:rsidR="00202074" w:rsidRPr="001F1D04" w:rsidRDefault="00202074" w:rsidP="001F1D04">
      <w:pPr>
        <w:pStyle w:val="Akapitzlist"/>
        <w:numPr>
          <w:ilvl w:val="0"/>
          <w:numId w:val="5"/>
        </w:numPr>
        <w:spacing w:after="0" w:line="276" w:lineRule="auto"/>
        <w:jc w:val="both"/>
        <w:rPr>
          <w:rFonts w:ascii="Arial" w:hAnsi="Arial" w:cs="Arial"/>
          <w:b/>
          <w:bCs/>
          <w:sz w:val="20"/>
          <w:szCs w:val="20"/>
        </w:rPr>
      </w:pPr>
      <w:r w:rsidRPr="001F1D04">
        <w:rPr>
          <w:rFonts w:ascii="Arial" w:hAnsi="Arial" w:cs="Arial"/>
          <w:b/>
          <w:bCs/>
          <w:sz w:val="20"/>
          <w:szCs w:val="20"/>
        </w:rPr>
        <w:t>Zagrożenie dla wolności słowa i wprowadzenie cenzury urzędniczej (art. 54 Konstytucji RP)</w:t>
      </w:r>
    </w:p>
    <w:p w14:paraId="28C93B66" w14:textId="77777777" w:rsidR="001F1D04" w:rsidRPr="001F1D04" w:rsidRDefault="001F1D04" w:rsidP="001F1D04">
      <w:pPr>
        <w:pStyle w:val="Akapitzlist"/>
        <w:spacing w:after="0" w:line="276" w:lineRule="auto"/>
        <w:jc w:val="both"/>
        <w:rPr>
          <w:rFonts w:ascii="Arial" w:hAnsi="Arial" w:cs="Arial"/>
          <w:b/>
          <w:bCs/>
          <w:sz w:val="20"/>
          <w:szCs w:val="20"/>
        </w:rPr>
      </w:pPr>
    </w:p>
    <w:p w14:paraId="7482BF61" w14:textId="77777777" w:rsid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lastRenderedPageBreak/>
        <w:t>Wprowadzenie sankcji za zaangażowanie w bliżej niezdefiniowaną „zagraniczną manipulację i ingerencję informacyjną” (FIMI) stanowi bezpośrednie zagrożenie dla wolności wyrażania poglądów oraz pozyskiwania i rozpowszechniania informacji (</w:t>
      </w:r>
      <w:hyperlink r:id="rId10" w:tgtFrame="_blank" w:history="1">
        <w:r w:rsidRPr="00202074">
          <w:rPr>
            <w:rStyle w:val="Hipercze"/>
            <w:rFonts w:ascii="Arial" w:hAnsi="Arial" w:cs="Arial"/>
            <w:sz w:val="20"/>
            <w:szCs w:val="20"/>
          </w:rPr>
          <w:t>art. 54 Konstytucji</w:t>
        </w:r>
      </w:hyperlink>
      <w:r w:rsidRPr="00202074">
        <w:rPr>
          <w:rFonts w:ascii="Arial" w:hAnsi="Arial" w:cs="Arial"/>
          <w:sz w:val="20"/>
          <w:szCs w:val="20"/>
        </w:rPr>
        <w:t>). Brak precyzyjnych kryteriów definicyjnych w polskim prawie rodzi uzasadnioną obawę, że przepisy te staną się narzędziem walki politycznej. Pod pretekstem walki z dezinformacją urzędnicy będą mogli karać niezależnych publicystów, wydawców czy działaczy społecznych, których krytyka linii rządu zostanie uznana za „zagrożenie dla bezpieczeństwa”.</w:t>
      </w:r>
    </w:p>
    <w:p w14:paraId="055025F3" w14:textId="77777777" w:rsidR="001F1D04" w:rsidRPr="00202074" w:rsidRDefault="001F1D04" w:rsidP="001F1D04">
      <w:pPr>
        <w:spacing w:after="0" w:line="276" w:lineRule="auto"/>
        <w:jc w:val="both"/>
        <w:rPr>
          <w:rFonts w:ascii="Arial" w:hAnsi="Arial" w:cs="Arial"/>
          <w:sz w:val="20"/>
          <w:szCs w:val="20"/>
        </w:rPr>
      </w:pPr>
    </w:p>
    <w:p w14:paraId="56F4DCDB" w14:textId="5A2C012F" w:rsidR="00202074" w:rsidRPr="001F1D04" w:rsidRDefault="00202074" w:rsidP="001F1D04">
      <w:pPr>
        <w:pStyle w:val="Akapitzlist"/>
        <w:numPr>
          <w:ilvl w:val="0"/>
          <w:numId w:val="5"/>
        </w:numPr>
        <w:spacing w:after="0" w:line="276" w:lineRule="auto"/>
        <w:jc w:val="both"/>
        <w:rPr>
          <w:rFonts w:ascii="Arial" w:hAnsi="Arial" w:cs="Arial"/>
          <w:b/>
          <w:bCs/>
          <w:sz w:val="20"/>
          <w:szCs w:val="20"/>
        </w:rPr>
      </w:pPr>
      <w:r w:rsidRPr="001F1D04">
        <w:rPr>
          <w:rFonts w:ascii="Arial" w:hAnsi="Arial" w:cs="Arial"/>
          <w:b/>
          <w:bCs/>
          <w:sz w:val="20"/>
          <w:szCs w:val="20"/>
        </w:rPr>
        <w:t>Naruszenie zasady określoności prawa oraz praw własności (art. 2 i art. 64 Konstytucji RP)</w:t>
      </w:r>
    </w:p>
    <w:p w14:paraId="37232415" w14:textId="77777777" w:rsidR="001F1D04" w:rsidRPr="001F1D04" w:rsidRDefault="001F1D04" w:rsidP="001F1D04">
      <w:pPr>
        <w:pStyle w:val="Akapitzlist"/>
        <w:spacing w:after="0" w:line="276" w:lineRule="auto"/>
        <w:jc w:val="both"/>
        <w:rPr>
          <w:rFonts w:ascii="Arial" w:hAnsi="Arial" w:cs="Arial"/>
          <w:b/>
          <w:bCs/>
          <w:sz w:val="20"/>
          <w:szCs w:val="20"/>
        </w:rPr>
      </w:pPr>
    </w:p>
    <w:p w14:paraId="0AC997B3" w14:textId="77777777" w:rsid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 xml:space="preserve">Zgodnie z art. 2 Konstytucji, przepisy prawa muszą być jasne i przewidywalne dla obywatela. Druk nr 3003 posługuje się pojęciami nieostrymi (np. „pośrednie wspieranie” operacji informacyjnych). Jednocześnie projekt nakłada na blisko 2,9 miliona przedsiębiorców (w tym małe biura, notariuszy czy kantory) drastyczne kary finansowe – aż do </w:t>
      </w:r>
      <w:r w:rsidRPr="00202074">
        <w:rPr>
          <w:rFonts w:ascii="Arial" w:hAnsi="Arial" w:cs="Arial"/>
          <w:b/>
          <w:bCs/>
          <w:sz w:val="20"/>
          <w:szCs w:val="20"/>
        </w:rPr>
        <w:t>20 milionów złotych</w:t>
      </w:r>
      <w:r w:rsidRPr="00202074">
        <w:rPr>
          <w:rFonts w:ascii="Arial" w:hAnsi="Arial" w:cs="Arial"/>
          <w:sz w:val="20"/>
          <w:szCs w:val="20"/>
        </w:rPr>
        <w:t xml:space="preserve"> – za niedopełnienie obowiązków weryfikacji. Wywoła to tzw. „efekt mrożący”: przestraszeni przedsiębiorcy będą nadgorliwie blokować środki i odmawiać obsługi klientów w obawie przed finansową ruiną. Godzi to w konstytucyjną ochronę własności i praw majątkowych (art. 64 Konstytucji).</w:t>
      </w:r>
    </w:p>
    <w:p w14:paraId="44508057" w14:textId="77777777" w:rsidR="001F1D04" w:rsidRPr="00202074" w:rsidRDefault="001F1D04" w:rsidP="001F1D04">
      <w:pPr>
        <w:spacing w:after="0" w:line="276" w:lineRule="auto"/>
        <w:jc w:val="both"/>
        <w:rPr>
          <w:rFonts w:ascii="Arial" w:hAnsi="Arial" w:cs="Arial"/>
          <w:sz w:val="20"/>
          <w:szCs w:val="20"/>
        </w:rPr>
      </w:pPr>
    </w:p>
    <w:p w14:paraId="72CD7535" w14:textId="524471D4" w:rsidR="00202074" w:rsidRPr="001F1D04" w:rsidRDefault="00202074" w:rsidP="001F1D04">
      <w:pPr>
        <w:pStyle w:val="Akapitzlist"/>
        <w:numPr>
          <w:ilvl w:val="0"/>
          <w:numId w:val="5"/>
        </w:numPr>
        <w:spacing w:after="0" w:line="276" w:lineRule="auto"/>
        <w:jc w:val="both"/>
        <w:rPr>
          <w:rFonts w:ascii="Arial" w:hAnsi="Arial" w:cs="Arial"/>
          <w:b/>
          <w:bCs/>
          <w:sz w:val="20"/>
          <w:szCs w:val="20"/>
        </w:rPr>
      </w:pPr>
      <w:r w:rsidRPr="001F1D04">
        <w:rPr>
          <w:rFonts w:ascii="Arial" w:hAnsi="Arial" w:cs="Arial"/>
          <w:b/>
          <w:bCs/>
          <w:sz w:val="20"/>
          <w:szCs w:val="20"/>
        </w:rPr>
        <w:t>Poparcie zarzutów przez instytucje państwowe (PUODO, Sąd Najwyższy)</w:t>
      </w:r>
    </w:p>
    <w:p w14:paraId="5AD25645" w14:textId="77777777" w:rsidR="001F1D04" w:rsidRPr="001F1D04" w:rsidRDefault="001F1D04" w:rsidP="001F1D04">
      <w:pPr>
        <w:pStyle w:val="Akapitzlist"/>
        <w:spacing w:after="0" w:line="276" w:lineRule="auto"/>
        <w:jc w:val="both"/>
        <w:rPr>
          <w:rFonts w:ascii="Arial" w:hAnsi="Arial" w:cs="Arial"/>
          <w:b/>
          <w:bCs/>
          <w:sz w:val="20"/>
          <w:szCs w:val="20"/>
        </w:rPr>
      </w:pPr>
    </w:p>
    <w:p w14:paraId="4F166186" w14:textId="37CD890F"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 xml:space="preserve">Niniejszy sprzeciw koresponduje z oficjalnymi opiniami zgłoszonymi w toku procesu legislacyjnego. Prezes </w:t>
      </w:r>
      <w:hyperlink r:id="rId11" w:tgtFrame="_blank" w:history="1">
        <w:r w:rsidRPr="00202074">
          <w:rPr>
            <w:rStyle w:val="Hipercze"/>
            <w:rFonts w:ascii="Arial" w:hAnsi="Arial" w:cs="Arial"/>
            <w:sz w:val="20"/>
            <w:szCs w:val="20"/>
          </w:rPr>
          <w:t>Urzędu Ochrony Danych Osobowych</w:t>
        </w:r>
      </w:hyperlink>
      <w:r w:rsidRPr="00202074">
        <w:rPr>
          <w:rFonts w:ascii="Arial" w:hAnsi="Arial" w:cs="Arial"/>
          <w:sz w:val="20"/>
          <w:szCs w:val="20"/>
        </w:rPr>
        <w:t xml:space="preserve"> (PUODO) wprost alarmuje, że ustawa tworzy gigantyczną, masową strukturę inwigilacji gospodarczej bez należytych bezpieczników przewidzianych przez RODO. Z kolei fundamentalne zastrzeżenia </w:t>
      </w:r>
      <w:hyperlink r:id="rId12" w:tgtFrame="_blank" w:history="1">
        <w:r w:rsidRPr="00202074">
          <w:rPr>
            <w:rStyle w:val="Hipercze"/>
            <w:rFonts w:ascii="Arial" w:hAnsi="Arial" w:cs="Arial"/>
            <w:sz w:val="20"/>
            <w:szCs w:val="20"/>
          </w:rPr>
          <w:t>Sądu Najwyższego</w:t>
        </w:r>
      </w:hyperlink>
      <w:r w:rsidRPr="00202074">
        <w:rPr>
          <w:rFonts w:ascii="Arial" w:hAnsi="Arial" w:cs="Arial"/>
          <w:sz w:val="20"/>
          <w:szCs w:val="20"/>
        </w:rPr>
        <w:t xml:space="preserve"> wobec systemowego zastępowania procesów sądowych arbitralnymi decyzjami administracyjnymi potwierdzają, że projekt ten stoi w jawnej sprzeczności z polską kulturą prawną.</w:t>
      </w:r>
      <w:r w:rsidR="00241A00">
        <w:rPr>
          <w:rFonts w:ascii="Arial" w:hAnsi="Arial" w:cs="Arial"/>
          <w:sz w:val="20"/>
          <w:szCs w:val="20"/>
        </w:rPr>
        <w:t xml:space="preserve"> Rzekomy „brak zastrzeżeń” do projektu stanowi oczywist</w:t>
      </w:r>
      <w:r w:rsidR="001B3E4D">
        <w:rPr>
          <w:rFonts w:ascii="Arial" w:hAnsi="Arial" w:cs="Arial"/>
          <w:sz w:val="20"/>
          <w:szCs w:val="20"/>
        </w:rPr>
        <w:t xml:space="preserve">e stanowisko SN, że sądy są w sposób rażący pomijane w procesie </w:t>
      </w:r>
      <w:r w:rsidR="00017C16">
        <w:rPr>
          <w:rFonts w:ascii="Arial" w:hAnsi="Arial" w:cs="Arial"/>
          <w:sz w:val="20"/>
          <w:szCs w:val="20"/>
        </w:rPr>
        <w:t>weryfikowania i decydowania o ewentualnych losach obywateli i ich majątku.</w:t>
      </w:r>
    </w:p>
    <w:p w14:paraId="28A8217B" w14:textId="630FD79E" w:rsidR="00202074" w:rsidRPr="00202074" w:rsidRDefault="00202074" w:rsidP="001F1D04">
      <w:pPr>
        <w:spacing w:after="0" w:line="276" w:lineRule="auto"/>
        <w:jc w:val="both"/>
        <w:rPr>
          <w:rFonts w:ascii="Arial" w:hAnsi="Arial" w:cs="Arial"/>
          <w:sz w:val="20"/>
          <w:szCs w:val="20"/>
        </w:rPr>
      </w:pPr>
    </w:p>
    <w:p w14:paraId="55193051" w14:textId="77777777" w:rsidR="00202074" w:rsidRDefault="00202074" w:rsidP="001F1D04">
      <w:pPr>
        <w:spacing w:after="0" w:line="276" w:lineRule="auto"/>
        <w:jc w:val="both"/>
        <w:rPr>
          <w:rFonts w:ascii="Arial" w:hAnsi="Arial" w:cs="Arial"/>
          <w:b/>
          <w:bCs/>
          <w:sz w:val="20"/>
          <w:szCs w:val="20"/>
        </w:rPr>
      </w:pPr>
      <w:r w:rsidRPr="00202074">
        <w:rPr>
          <w:rFonts w:ascii="Arial" w:hAnsi="Arial" w:cs="Arial"/>
          <w:b/>
          <w:bCs/>
          <w:sz w:val="20"/>
          <w:szCs w:val="20"/>
        </w:rPr>
        <w:t>PODSUMOWANIE</w:t>
      </w:r>
    </w:p>
    <w:p w14:paraId="3AE04787" w14:textId="77777777" w:rsidR="001F1D04" w:rsidRPr="00202074" w:rsidRDefault="001F1D04" w:rsidP="001F1D04">
      <w:pPr>
        <w:spacing w:after="0" w:line="276" w:lineRule="auto"/>
        <w:jc w:val="both"/>
        <w:rPr>
          <w:rFonts w:ascii="Arial" w:hAnsi="Arial" w:cs="Arial"/>
          <w:b/>
          <w:bCs/>
          <w:sz w:val="20"/>
          <w:szCs w:val="20"/>
        </w:rPr>
      </w:pPr>
    </w:p>
    <w:p w14:paraId="425F7BF3" w14:textId="71CFBA10"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Panie Premierze, bezpieczeństwo narodowe jest wartością najwyższą, ale jego fundamentem musi być siła prawa, a nie prawo siły. Walka z wrogimi działaniami hybrydowymi nie może być prowadzona metodami, które niszczą wolności demokratyczne, do których obrony państwo zostało powołane.</w:t>
      </w:r>
    </w:p>
    <w:p w14:paraId="64230206" w14:textId="77777777" w:rsidR="00202074" w:rsidRP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Wprowadzenie mechanizmu „czarnych list”, o których decyduje wyłącznie minister, a których ofiarą może paść każdy obywatel i przedsiębiorca bez prawa do wcześniejszego uczciwego procesu, jest niedopuszczalne.</w:t>
      </w:r>
    </w:p>
    <w:p w14:paraId="41C64B75" w14:textId="77777777" w:rsidR="001F1D04" w:rsidRDefault="001F1D04" w:rsidP="001F1D04">
      <w:pPr>
        <w:spacing w:after="0" w:line="276" w:lineRule="auto"/>
        <w:jc w:val="both"/>
        <w:rPr>
          <w:rFonts w:ascii="Arial" w:hAnsi="Arial" w:cs="Arial"/>
          <w:b/>
          <w:bCs/>
          <w:sz w:val="20"/>
          <w:szCs w:val="20"/>
        </w:rPr>
      </w:pPr>
    </w:p>
    <w:p w14:paraId="2E119DD6" w14:textId="5CB25DD3" w:rsidR="00202074" w:rsidRPr="00202074" w:rsidRDefault="00837C49" w:rsidP="001F1D04">
      <w:pPr>
        <w:spacing w:after="0" w:line="276" w:lineRule="auto"/>
        <w:jc w:val="both"/>
        <w:rPr>
          <w:rFonts w:ascii="Arial" w:hAnsi="Arial" w:cs="Arial"/>
          <w:sz w:val="20"/>
          <w:szCs w:val="20"/>
        </w:rPr>
      </w:pPr>
      <w:r>
        <w:rPr>
          <w:rFonts w:ascii="Arial" w:hAnsi="Arial" w:cs="Arial"/>
          <w:b/>
          <w:bCs/>
          <w:sz w:val="20"/>
          <w:szCs w:val="20"/>
        </w:rPr>
        <w:t>Wzywamy do natychmiastowego</w:t>
      </w:r>
      <w:r w:rsidR="00202074" w:rsidRPr="00202074">
        <w:rPr>
          <w:rFonts w:ascii="Arial" w:hAnsi="Arial" w:cs="Arial"/>
          <w:b/>
          <w:bCs/>
          <w:sz w:val="20"/>
          <w:szCs w:val="20"/>
        </w:rPr>
        <w:t xml:space="preserve"> wycofani</w:t>
      </w:r>
      <w:r>
        <w:rPr>
          <w:rFonts w:ascii="Arial" w:hAnsi="Arial" w:cs="Arial"/>
          <w:b/>
          <w:bCs/>
          <w:sz w:val="20"/>
          <w:szCs w:val="20"/>
        </w:rPr>
        <w:t>a</w:t>
      </w:r>
      <w:r w:rsidR="00202074" w:rsidRPr="00202074">
        <w:rPr>
          <w:rFonts w:ascii="Arial" w:hAnsi="Arial" w:cs="Arial"/>
          <w:b/>
          <w:bCs/>
          <w:sz w:val="20"/>
          <w:szCs w:val="20"/>
        </w:rPr>
        <w:t xml:space="preserve"> projektu ustawy z Druku nr 3003 i wypracowanie rozwiązań, które będą skutecznie chronić Polskę, w pełni szanując Konstytucję</w:t>
      </w:r>
      <w:r w:rsidR="001E7E13">
        <w:rPr>
          <w:rFonts w:ascii="Arial" w:hAnsi="Arial" w:cs="Arial"/>
          <w:b/>
          <w:bCs/>
          <w:sz w:val="20"/>
          <w:szCs w:val="20"/>
        </w:rPr>
        <w:t xml:space="preserve"> </w:t>
      </w:r>
      <w:r w:rsidR="00202074" w:rsidRPr="00202074">
        <w:rPr>
          <w:rFonts w:ascii="Arial" w:hAnsi="Arial" w:cs="Arial"/>
          <w:b/>
          <w:bCs/>
          <w:sz w:val="20"/>
          <w:szCs w:val="20"/>
        </w:rPr>
        <w:t>Rzeczypospolitej Polskiej</w:t>
      </w:r>
      <w:r w:rsidR="001E7E13">
        <w:rPr>
          <w:rFonts w:ascii="Arial" w:hAnsi="Arial" w:cs="Arial"/>
          <w:b/>
          <w:bCs/>
          <w:sz w:val="20"/>
          <w:szCs w:val="20"/>
        </w:rPr>
        <w:t xml:space="preserve"> oraz prawa Polek i Polaków</w:t>
      </w:r>
      <w:r w:rsidR="00202074" w:rsidRPr="00202074">
        <w:rPr>
          <w:rFonts w:ascii="Arial" w:hAnsi="Arial" w:cs="Arial"/>
          <w:b/>
          <w:bCs/>
          <w:sz w:val="20"/>
          <w:szCs w:val="20"/>
        </w:rPr>
        <w:t>.</w:t>
      </w:r>
    </w:p>
    <w:p w14:paraId="14CA1900" w14:textId="77777777" w:rsidR="00246531" w:rsidRDefault="00246531" w:rsidP="001F1D04">
      <w:pPr>
        <w:spacing w:after="0" w:line="276" w:lineRule="auto"/>
        <w:jc w:val="both"/>
        <w:rPr>
          <w:rFonts w:ascii="Arial" w:hAnsi="Arial" w:cs="Arial"/>
          <w:sz w:val="20"/>
          <w:szCs w:val="20"/>
        </w:rPr>
      </w:pPr>
    </w:p>
    <w:p w14:paraId="28799E15" w14:textId="77777777" w:rsidR="001F1D04" w:rsidRDefault="001F1D04" w:rsidP="001F1D04">
      <w:pPr>
        <w:spacing w:after="0" w:line="276" w:lineRule="auto"/>
        <w:jc w:val="both"/>
        <w:rPr>
          <w:rFonts w:ascii="Arial" w:hAnsi="Arial" w:cs="Arial"/>
          <w:sz w:val="20"/>
          <w:szCs w:val="20"/>
        </w:rPr>
      </w:pPr>
    </w:p>
    <w:p w14:paraId="74E0E5AB" w14:textId="4924EBDF" w:rsidR="00202074" w:rsidRDefault="00202074" w:rsidP="001F1D04">
      <w:pPr>
        <w:spacing w:after="0" w:line="276" w:lineRule="auto"/>
        <w:jc w:val="both"/>
        <w:rPr>
          <w:rFonts w:ascii="Arial" w:hAnsi="Arial" w:cs="Arial"/>
          <w:sz w:val="20"/>
          <w:szCs w:val="20"/>
        </w:rPr>
      </w:pPr>
      <w:r w:rsidRPr="00202074">
        <w:rPr>
          <w:rFonts w:ascii="Arial" w:hAnsi="Arial" w:cs="Arial"/>
          <w:sz w:val="20"/>
          <w:szCs w:val="20"/>
        </w:rPr>
        <w:t>Z</w:t>
      </w:r>
      <w:r w:rsidR="00246531">
        <w:rPr>
          <w:rFonts w:ascii="Arial" w:hAnsi="Arial" w:cs="Arial"/>
          <w:sz w:val="20"/>
          <w:szCs w:val="20"/>
        </w:rPr>
        <w:t>aniepokojeni Obywatele</w:t>
      </w:r>
      <w:r w:rsidRPr="00202074">
        <w:rPr>
          <w:rFonts w:ascii="Arial" w:hAnsi="Arial" w:cs="Arial"/>
          <w:sz w:val="20"/>
          <w:szCs w:val="20"/>
        </w:rPr>
        <w:t>,</w:t>
      </w:r>
    </w:p>
    <w:p w14:paraId="564D319A" w14:textId="77777777" w:rsidR="003D0EF5" w:rsidRDefault="003D0EF5" w:rsidP="001F1D04">
      <w:pPr>
        <w:spacing w:after="0" w:line="276" w:lineRule="auto"/>
        <w:jc w:val="both"/>
        <w:rPr>
          <w:rFonts w:ascii="Arial" w:hAnsi="Arial" w:cs="Arial"/>
          <w:sz w:val="20"/>
          <w:szCs w:val="20"/>
        </w:rPr>
      </w:pPr>
    </w:p>
    <w:p w14:paraId="1B9D2DAD" w14:textId="77777777" w:rsidR="003D0EF5" w:rsidRPr="00202074" w:rsidRDefault="003D0EF5" w:rsidP="001F1D04">
      <w:pPr>
        <w:spacing w:after="0" w:line="276" w:lineRule="auto"/>
        <w:jc w:val="both"/>
        <w:rPr>
          <w:rFonts w:ascii="Arial" w:hAnsi="Arial" w:cs="Arial"/>
          <w:sz w:val="20"/>
          <w:szCs w:val="20"/>
        </w:rPr>
      </w:pPr>
    </w:p>
    <w:p w14:paraId="72D7C389" w14:textId="0467BCE1" w:rsidR="00202074" w:rsidRDefault="00202074" w:rsidP="001F1D04">
      <w:pPr>
        <w:spacing w:after="0" w:line="276" w:lineRule="auto"/>
        <w:jc w:val="both"/>
        <w:rPr>
          <w:rFonts w:ascii="Arial" w:hAnsi="Arial" w:cs="Arial"/>
          <w:i/>
          <w:iCs/>
          <w:sz w:val="20"/>
          <w:szCs w:val="20"/>
        </w:rPr>
      </w:pPr>
      <w:r w:rsidRPr="00202074">
        <w:rPr>
          <w:rFonts w:ascii="Arial" w:hAnsi="Arial" w:cs="Arial"/>
          <w:sz w:val="20"/>
          <w:szCs w:val="20"/>
        </w:rPr>
        <w:t>......................................................</w:t>
      </w:r>
      <w:r w:rsidRPr="00202074">
        <w:rPr>
          <w:rFonts w:ascii="Arial" w:hAnsi="Arial" w:cs="Arial"/>
          <w:sz w:val="20"/>
          <w:szCs w:val="20"/>
        </w:rPr>
        <w:br/>
      </w:r>
    </w:p>
    <w:p w14:paraId="71973851" w14:textId="77777777" w:rsidR="00A53916" w:rsidRDefault="00A53916" w:rsidP="001F1D04">
      <w:pPr>
        <w:spacing w:after="0" w:line="276" w:lineRule="auto"/>
        <w:jc w:val="both"/>
        <w:rPr>
          <w:rFonts w:ascii="Arial" w:hAnsi="Arial" w:cs="Arial"/>
          <w:i/>
          <w:iCs/>
          <w:sz w:val="20"/>
          <w:szCs w:val="20"/>
        </w:rPr>
      </w:pPr>
    </w:p>
    <w:p w14:paraId="23399564" w14:textId="77777777" w:rsidR="0054464C" w:rsidRPr="00202074" w:rsidRDefault="0054464C" w:rsidP="001F1D04">
      <w:pPr>
        <w:spacing w:after="0" w:line="276" w:lineRule="auto"/>
        <w:jc w:val="both"/>
        <w:rPr>
          <w:rFonts w:ascii="Arial" w:hAnsi="Arial" w:cs="Arial"/>
          <w:sz w:val="20"/>
          <w:szCs w:val="20"/>
        </w:rPr>
      </w:pPr>
    </w:p>
    <w:sectPr w:rsidR="0054464C" w:rsidRPr="0020207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B3AD" w14:textId="77777777" w:rsidR="00320079" w:rsidRDefault="00320079" w:rsidP="005B2EA0">
      <w:pPr>
        <w:spacing w:after="0" w:line="240" w:lineRule="auto"/>
      </w:pPr>
      <w:r>
        <w:separator/>
      </w:r>
    </w:p>
  </w:endnote>
  <w:endnote w:type="continuationSeparator" w:id="0">
    <w:p w14:paraId="5C99D342" w14:textId="77777777" w:rsidR="00320079" w:rsidRDefault="00320079" w:rsidP="005B2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853643"/>
      <w:docPartObj>
        <w:docPartGallery w:val="Page Numbers (Bottom of Page)"/>
        <w:docPartUnique/>
      </w:docPartObj>
    </w:sdtPr>
    <w:sdtContent>
      <w:p w14:paraId="56504457" w14:textId="5259E20C" w:rsidR="005B2EA0" w:rsidRDefault="005B2EA0">
        <w:pPr>
          <w:pStyle w:val="Stopka"/>
          <w:jc w:val="right"/>
        </w:pPr>
        <w:r>
          <w:fldChar w:fldCharType="begin"/>
        </w:r>
        <w:r>
          <w:instrText>PAGE   \* MERGEFORMAT</w:instrText>
        </w:r>
        <w:r>
          <w:fldChar w:fldCharType="separate"/>
        </w:r>
        <w:r>
          <w:t>2</w:t>
        </w:r>
        <w:r>
          <w:fldChar w:fldCharType="end"/>
        </w:r>
      </w:p>
    </w:sdtContent>
  </w:sdt>
  <w:p w14:paraId="33653833" w14:textId="77777777" w:rsidR="005B2EA0" w:rsidRDefault="005B2E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7FBE" w14:textId="77777777" w:rsidR="00320079" w:rsidRDefault="00320079" w:rsidP="005B2EA0">
      <w:pPr>
        <w:spacing w:after="0" w:line="240" w:lineRule="auto"/>
      </w:pPr>
      <w:r>
        <w:separator/>
      </w:r>
    </w:p>
  </w:footnote>
  <w:footnote w:type="continuationSeparator" w:id="0">
    <w:p w14:paraId="51246AC7" w14:textId="77777777" w:rsidR="00320079" w:rsidRDefault="00320079" w:rsidP="005B2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F2A47"/>
    <w:multiLevelType w:val="multilevel"/>
    <w:tmpl w:val="2E6C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315FA"/>
    <w:multiLevelType w:val="hybridMultilevel"/>
    <w:tmpl w:val="554CD7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8316ABD"/>
    <w:multiLevelType w:val="multilevel"/>
    <w:tmpl w:val="35F2E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768ED"/>
    <w:multiLevelType w:val="multilevel"/>
    <w:tmpl w:val="3A789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BC516B"/>
    <w:multiLevelType w:val="multilevel"/>
    <w:tmpl w:val="6F7EB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344752">
    <w:abstractNumId w:val="4"/>
  </w:num>
  <w:num w:numId="2" w16cid:durableId="2027245831">
    <w:abstractNumId w:val="2"/>
  </w:num>
  <w:num w:numId="3" w16cid:durableId="2072917787">
    <w:abstractNumId w:val="0"/>
  </w:num>
  <w:num w:numId="4" w16cid:durableId="677586467">
    <w:abstractNumId w:val="3"/>
  </w:num>
  <w:num w:numId="5" w16cid:durableId="97564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5B"/>
    <w:rsid w:val="00017C16"/>
    <w:rsid w:val="001B3E4D"/>
    <w:rsid w:val="001E7E13"/>
    <w:rsid w:val="001F1D04"/>
    <w:rsid w:val="001F6E5A"/>
    <w:rsid w:val="00202074"/>
    <w:rsid w:val="00241A00"/>
    <w:rsid w:val="00246531"/>
    <w:rsid w:val="00246A5B"/>
    <w:rsid w:val="00320079"/>
    <w:rsid w:val="003360C6"/>
    <w:rsid w:val="003D0EF5"/>
    <w:rsid w:val="0054464C"/>
    <w:rsid w:val="005B2EA0"/>
    <w:rsid w:val="005E2007"/>
    <w:rsid w:val="00610CFE"/>
    <w:rsid w:val="00837C49"/>
    <w:rsid w:val="00916770"/>
    <w:rsid w:val="00997A21"/>
    <w:rsid w:val="009F33BB"/>
    <w:rsid w:val="00A53916"/>
    <w:rsid w:val="00C131D9"/>
    <w:rsid w:val="00C874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5D49"/>
  <w15:chartTrackingRefBased/>
  <w15:docId w15:val="{21583DEE-6DD4-41AA-ABF4-21211BE5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46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46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46A5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46A5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46A5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46A5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46A5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46A5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46A5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46A5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46A5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46A5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46A5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46A5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46A5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46A5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46A5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46A5B"/>
    <w:rPr>
      <w:rFonts w:eastAsiaTheme="majorEastAsia" w:cstheme="majorBidi"/>
      <w:color w:val="272727" w:themeColor="text1" w:themeTint="D8"/>
    </w:rPr>
  </w:style>
  <w:style w:type="paragraph" w:styleId="Tytu">
    <w:name w:val="Title"/>
    <w:basedOn w:val="Normalny"/>
    <w:next w:val="Normalny"/>
    <w:link w:val="TytuZnak"/>
    <w:uiPriority w:val="10"/>
    <w:qFormat/>
    <w:rsid w:val="00246A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46A5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46A5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46A5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46A5B"/>
    <w:pPr>
      <w:spacing w:before="160"/>
      <w:jc w:val="center"/>
    </w:pPr>
    <w:rPr>
      <w:i/>
      <w:iCs/>
      <w:color w:val="404040" w:themeColor="text1" w:themeTint="BF"/>
    </w:rPr>
  </w:style>
  <w:style w:type="character" w:customStyle="1" w:styleId="CytatZnak">
    <w:name w:val="Cytat Znak"/>
    <w:basedOn w:val="Domylnaczcionkaakapitu"/>
    <w:link w:val="Cytat"/>
    <w:uiPriority w:val="29"/>
    <w:rsid w:val="00246A5B"/>
    <w:rPr>
      <w:i/>
      <w:iCs/>
      <w:color w:val="404040" w:themeColor="text1" w:themeTint="BF"/>
    </w:rPr>
  </w:style>
  <w:style w:type="paragraph" w:styleId="Akapitzlist">
    <w:name w:val="List Paragraph"/>
    <w:basedOn w:val="Normalny"/>
    <w:uiPriority w:val="34"/>
    <w:qFormat/>
    <w:rsid w:val="00246A5B"/>
    <w:pPr>
      <w:ind w:left="720"/>
      <w:contextualSpacing/>
    </w:pPr>
  </w:style>
  <w:style w:type="character" w:styleId="Wyrnienieintensywne">
    <w:name w:val="Intense Emphasis"/>
    <w:basedOn w:val="Domylnaczcionkaakapitu"/>
    <w:uiPriority w:val="21"/>
    <w:qFormat/>
    <w:rsid w:val="00246A5B"/>
    <w:rPr>
      <w:i/>
      <w:iCs/>
      <w:color w:val="0F4761" w:themeColor="accent1" w:themeShade="BF"/>
    </w:rPr>
  </w:style>
  <w:style w:type="paragraph" w:styleId="Cytatintensywny">
    <w:name w:val="Intense Quote"/>
    <w:basedOn w:val="Normalny"/>
    <w:next w:val="Normalny"/>
    <w:link w:val="CytatintensywnyZnak"/>
    <w:uiPriority w:val="30"/>
    <w:qFormat/>
    <w:rsid w:val="00246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46A5B"/>
    <w:rPr>
      <w:i/>
      <w:iCs/>
      <w:color w:val="0F4761" w:themeColor="accent1" w:themeShade="BF"/>
    </w:rPr>
  </w:style>
  <w:style w:type="character" w:styleId="Odwoanieintensywne">
    <w:name w:val="Intense Reference"/>
    <w:basedOn w:val="Domylnaczcionkaakapitu"/>
    <w:uiPriority w:val="32"/>
    <w:qFormat/>
    <w:rsid w:val="00246A5B"/>
    <w:rPr>
      <w:b/>
      <w:bCs/>
      <w:smallCaps/>
      <w:color w:val="0F4761" w:themeColor="accent1" w:themeShade="BF"/>
      <w:spacing w:val="5"/>
    </w:rPr>
  </w:style>
  <w:style w:type="character" w:styleId="Hipercze">
    <w:name w:val="Hyperlink"/>
    <w:basedOn w:val="Domylnaczcionkaakapitu"/>
    <w:uiPriority w:val="99"/>
    <w:unhideWhenUsed/>
    <w:rsid w:val="00202074"/>
    <w:rPr>
      <w:color w:val="467886" w:themeColor="hyperlink"/>
      <w:u w:val="single"/>
    </w:rPr>
  </w:style>
  <w:style w:type="character" w:styleId="Nierozpoznanawzmianka">
    <w:name w:val="Unresolved Mention"/>
    <w:basedOn w:val="Domylnaczcionkaakapitu"/>
    <w:uiPriority w:val="99"/>
    <w:semiHidden/>
    <w:unhideWhenUsed/>
    <w:rsid w:val="00202074"/>
    <w:rPr>
      <w:color w:val="605E5C"/>
      <w:shd w:val="clear" w:color="auto" w:fill="E1DFDD"/>
    </w:rPr>
  </w:style>
  <w:style w:type="paragraph" w:styleId="Nagwek">
    <w:name w:val="header"/>
    <w:basedOn w:val="Normalny"/>
    <w:link w:val="NagwekZnak"/>
    <w:uiPriority w:val="99"/>
    <w:unhideWhenUsed/>
    <w:rsid w:val="005B2EA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2EA0"/>
  </w:style>
  <w:style w:type="paragraph" w:styleId="Stopka">
    <w:name w:val="footer"/>
    <w:basedOn w:val="Normalny"/>
    <w:link w:val="StopkaZnak"/>
    <w:uiPriority w:val="99"/>
    <w:unhideWhenUsed/>
    <w:rsid w:val="005B2E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2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zydent.pl/prawo/konstytucja-rp"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egislacja.gov.pl/projekt/12399355" TargetMode="External"/><Relationship Id="rId12" Type="http://schemas.openxmlformats.org/officeDocument/2006/relationships/hyperlink" Target="https://pl.wikipedia.org/wiki/S%C4%85d_najwy%C5%BCsz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v.pl/orpeg/ochrona-danych-osobowyc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ip.brpo.gov.pl/pl/kategoria-konstytucyjna/art-54-wolnosc-slowa" TargetMode="External"/><Relationship Id="rId4" Type="http://schemas.openxmlformats.org/officeDocument/2006/relationships/webSettings" Target="webSettings.xml"/><Relationship Id="rId9" Type="http://schemas.openxmlformats.org/officeDocument/2006/relationships/hyperlink" Target="https://www.gov.pl/web/mswia/"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5346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 RADCY PRAWNEGO Katarzyna Tarnawa-Gwóźdź KANCELARIA RADCY PRAWNEGO Katarzyna Tarnawa-Gwóźdź</dc:creator>
  <cp:keywords/>
  <dc:description/>
  <cp:lastModifiedBy>KANCELARIA RADCY PRAWNEGO Katarzyna Tarnawa-Gwóźdź KANCELARIA RADCY PRAWNEGO Katarzyna Tarnawa-Gwóźdź</cp:lastModifiedBy>
  <cp:revision>2</cp:revision>
  <dcterms:created xsi:type="dcterms:W3CDTF">2026-10-22T00:31:00Z</dcterms:created>
  <dcterms:modified xsi:type="dcterms:W3CDTF">2026-10-22T00:31:00Z</dcterms:modified>
</cp:coreProperties>
</file>