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F619" w14:textId="6DB01FD0" w:rsidR="00A937DB" w:rsidRPr="00182A46" w:rsidRDefault="00A937DB" w:rsidP="00182A46">
      <w:pPr>
        <w:spacing w:after="0"/>
        <w:jc w:val="right"/>
        <w:rPr>
          <w:rFonts w:ascii="Arial" w:eastAsia="Times New Roman" w:hAnsi="Arial" w:cs="Arial"/>
          <w:sz w:val="20"/>
          <w:szCs w:val="20"/>
        </w:rPr>
      </w:pPr>
      <w:r w:rsidRPr="00182A46">
        <w:rPr>
          <w:rFonts w:ascii="Arial" w:eastAsia="Times New Roman" w:hAnsi="Arial" w:cs="Arial"/>
          <w:sz w:val="20"/>
          <w:szCs w:val="20"/>
        </w:rPr>
        <w:t xml:space="preserve">Bielsko-Biała, dnia </w:t>
      </w:r>
      <w:r w:rsidR="00816E5C" w:rsidRPr="00182A46">
        <w:rPr>
          <w:rFonts w:ascii="Arial" w:eastAsia="Times New Roman" w:hAnsi="Arial" w:cs="Arial"/>
          <w:sz w:val="20"/>
          <w:szCs w:val="20"/>
        </w:rPr>
        <w:t xml:space="preserve">11 </w:t>
      </w:r>
      <w:r w:rsidR="00177058" w:rsidRPr="00182A46">
        <w:rPr>
          <w:rFonts w:ascii="Arial" w:eastAsia="Times New Roman" w:hAnsi="Arial" w:cs="Arial"/>
          <w:sz w:val="20"/>
          <w:szCs w:val="20"/>
        </w:rPr>
        <w:t xml:space="preserve">czerwca </w:t>
      </w:r>
      <w:r w:rsidRPr="00182A46">
        <w:rPr>
          <w:rFonts w:ascii="Arial" w:eastAsia="Times New Roman" w:hAnsi="Arial" w:cs="Arial"/>
          <w:sz w:val="20"/>
          <w:szCs w:val="20"/>
        </w:rPr>
        <w:t>202</w:t>
      </w:r>
      <w:r w:rsidR="00816E5C" w:rsidRPr="00182A46">
        <w:rPr>
          <w:rFonts w:ascii="Arial" w:eastAsia="Times New Roman" w:hAnsi="Arial" w:cs="Arial"/>
          <w:sz w:val="20"/>
          <w:szCs w:val="20"/>
        </w:rPr>
        <w:t>6</w:t>
      </w:r>
      <w:r w:rsidRPr="00182A46">
        <w:rPr>
          <w:rFonts w:ascii="Arial" w:eastAsia="Times New Roman" w:hAnsi="Arial" w:cs="Arial"/>
          <w:sz w:val="20"/>
          <w:szCs w:val="20"/>
        </w:rPr>
        <w:t xml:space="preserve"> roku   </w:t>
      </w:r>
    </w:p>
    <w:p w14:paraId="26A14EB0" w14:textId="1884C2B5" w:rsidR="00F400F8" w:rsidRPr="00182A46" w:rsidRDefault="00A937DB" w:rsidP="00182A46">
      <w:pPr>
        <w:autoSpaceDE w:val="0"/>
        <w:autoSpaceDN w:val="0"/>
        <w:adjustRightInd w:val="0"/>
        <w:spacing w:after="0"/>
        <w:rPr>
          <w:rFonts w:ascii="Arial" w:eastAsia="Times New Roman" w:hAnsi="Arial" w:cs="Arial"/>
          <w:sz w:val="20"/>
          <w:szCs w:val="20"/>
        </w:rPr>
      </w:pPr>
      <w:r w:rsidRPr="00182A46">
        <w:rPr>
          <w:rFonts w:ascii="Arial" w:eastAsia="Times New Roman" w:hAnsi="Arial" w:cs="Arial"/>
          <w:sz w:val="20"/>
          <w:szCs w:val="20"/>
        </w:rPr>
        <w:t xml:space="preserve"> </w:t>
      </w:r>
    </w:p>
    <w:p w14:paraId="6373ACA2" w14:textId="77777777" w:rsidR="00F400F8" w:rsidRPr="00182A46" w:rsidRDefault="00F400F8" w:rsidP="00182A46">
      <w:pPr>
        <w:spacing w:after="0"/>
        <w:ind w:firstLine="6521"/>
        <w:rPr>
          <w:rFonts w:ascii="Arial" w:hAnsi="Arial" w:cs="Arial"/>
          <w:b/>
          <w:bCs/>
          <w:sz w:val="20"/>
          <w:szCs w:val="20"/>
        </w:rPr>
      </w:pPr>
    </w:p>
    <w:p w14:paraId="6DA6001B" w14:textId="77777777" w:rsidR="00816E5C" w:rsidRPr="00182A46" w:rsidRDefault="00816E5C" w:rsidP="00182A46">
      <w:pPr>
        <w:spacing w:after="0"/>
        <w:rPr>
          <w:rFonts w:ascii="Arial" w:hAnsi="Arial" w:cs="Arial"/>
          <w:b/>
          <w:bCs/>
          <w:sz w:val="20"/>
          <w:szCs w:val="20"/>
        </w:rPr>
      </w:pPr>
    </w:p>
    <w:p w14:paraId="145EFF33" w14:textId="77777777" w:rsidR="00816E5C" w:rsidRPr="00182A46" w:rsidRDefault="00816E5C" w:rsidP="00182A46">
      <w:pPr>
        <w:spacing w:after="0"/>
        <w:jc w:val="center"/>
        <w:rPr>
          <w:rFonts w:ascii="Arial" w:hAnsi="Arial" w:cs="Arial"/>
          <w:b/>
          <w:bCs/>
          <w:sz w:val="20"/>
          <w:szCs w:val="20"/>
        </w:rPr>
      </w:pPr>
      <w:r w:rsidRPr="00182A46">
        <w:rPr>
          <w:rFonts w:ascii="Arial" w:hAnsi="Arial" w:cs="Arial"/>
          <w:b/>
          <w:bCs/>
          <w:sz w:val="20"/>
          <w:szCs w:val="20"/>
        </w:rPr>
        <w:t>Opinia prawna</w:t>
      </w:r>
    </w:p>
    <w:p w14:paraId="4DE31C79" w14:textId="13EC7EB7" w:rsidR="00952F7F" w:rsidRPr="00182A46" w:rsidRDefault="00952F7F" w:rsidP="00182A46">
      <w:pPr>
        <w:spacing w:after="0"/>
        <w:jc w:val="center"/>
        <w:rPr>
          <w:rFonts w:ascii="Arial" w:hAnsi="Arial" w:cs="Arial"/>
          <w:b/>
          <w:bCs/>
          <w:sz w:val="20"/>
          <w:szCs w:val="20"/>
        </w:rPr>
      </w:pPr>
      <w:r w:rsidRPr="00182A46">
        <w:rPr>
          <w:rFonts w:ascii="Arial" w:hAnsi="Arial" w:cs="Arial"/>
          <w:b/>
          <w:bCs/>
          <w:sz w:val="20"/>
          <w:szCs w:val="20"/>
        </w:rPr>
        <w:t xml:space="preserve">Czy podjęcie przez Organy jednostek samorządu terytorialnego uchwały </w:t>
      </w:r>
      <w:r w:rsidR="001E30D5" w:rsidRPr="00182A46">
        <w:rPr>
          <w:rFonts w:ascii="Arial" w:hAnsi="Arial" w:cs="Arial"/>
          <w:b/>
          <w:bCs/>
          <w:sz w:val="20"/>
          <w:szCs w:val="20"/>
        </w:rPr>
        <w:t xml:space="preserve">o </w:t>
      </w:r>
      <w:r w:rsidR="00E121BB" w:rsidRPr="00182A46">
        <w:rPr>
          <w:rFonts w:ascii="Arial" w:hAnsi="Arial" w:cs="Arial"/>
          <w:b/>
          <w:bCs/>
          <w:sz w:val="20"/>
          <w:szCs w:val="20"/>
        </w:rPr>
        <w:t>wyrażenia sprzeciwu wobec relokacji nielegalnych migrantów</w:t>
      </w:r>
      <w:r w:rsidRPr="00182A46">
        <w:rPr>
          <w:rFonts w:ascii="Arial" w:hAnsi="Arial" w:cs="Arial"/>
          <w:b/>
          <w:bCs/>
          <w:sz w:val="20"/>
          <w:szCs w:val="20"/>
        </w:rPr>
        <w:t xml:space="preserve"> </w:t>
      </w:r>
      <w:r w:rsidR="001E30D5" w:rsidRPr="00182A46">
        <w:rPr>
          <w:rFonts w:ascii="Arial" w:hAnsi="Arial" w:cs="Arial"/>
          <w:b/>
          <w:bCs/>
          <w:sz w:val="20"/>
          <w:szCs w:val="20"/>
        </w:rPr>
        <w:t xml:space="preserve">oraz </w:t>
      </w:r>
      <w:r w:rsidRPr="00182A46">
        <w:rPr>
          <w:rFonts w:ascii="Arial" w:hAnsi="Arial" w:cs="Arial"/>
          <w:b/>
          <w:bCs/>
          <w:sz w:val="20"/>
          <w:szCs w:val="20"/>
        </w:rPr>
        <w:t>budowy ośrodków</w:t>
      </w:r>
      <w:r w:rsidR="001E30D5" w:rsidRPr="00182A46">
        <w:rPr>
          <w:rFonts w:ascii="Arial" w:hAnsi="Arial" w:cs="Arial"/>
          <w:b/>
          <w:bCs/>
          <w:sz w:val="20"/>
          <w:szCs w:val="20"/>
        </w:rPr>
        <w:t xml:space="preserve">, </w:t>
      </w:r>
      <w:r w:rsidRPr="00182A46">
        <w:rPr>
          <w:rFonts w:ascii="Arial" w:hAnsi="Arial" w:cs="Arial"/>
          <w:b/>
          <w:bCs/>
          <w:sz w:val="20"/>
          <w:szCs w:val="20"/>
        </w:rPr>
        <w:t>stanowi przejaw działań sprzecznych z zasadami niedyskryminacji wynikającymi z prawa Unii Europejskiej, w tym z Kartą Praw Podstawowych Unii Europejskiej</w:t>
      </w:r>
    </w:p>
    <w:p w14:paraId="600E98AB" w14:textId="77777777" w:rsidR="00952F7F" w:rsidRPr="00182A46" w:rsidRDefault="00952F7F" w:rsidP="00182A46">
      <w:pPr>
        <w:spacing w:after="0"/>
        <w:jc w:val="both"/>
        <w:rPr>
          <w:rFonts w:ascii="Arial" w:hAnsi="Arial" w:cs="Arial"/>
          <w:sz w:val="20"/>
          <w:szCs w:val="20"/>
        </w:rPr>
      </w:pPr>
    </w:p>
    <w:p w14:paraId="79600DD4" w14:textId="77777777" w:rsidR="00686464" w:rsidRDefault="00686464" w:rsidP="00182A46">
      <w:pPr>
        <w:spacing w:after="0"/>
        <w:jc w:val="both"/>
        <w:rPr>
          <w:rFonts w:ascii="Arial" w:hAnsi="Arial" w:cs="Arial"/>
          <w:b/>
          <w:bCs/>
          <w:sz w:val="20"/>
          <w:szCs w:val="20"/>
          <w:u w:val="single"/>
        </w:rPr>
      </w:pPr>
    </w:p>
    <w:p w14:paraId="70FEDCC2" w14:textId="697645C9" w:rsidR="00213668" w:rsidRPr="00182A46" w:rsidRDefault="00213668" w:rsidP="00182A46">
      <w:pPr>
        <w:spacing w:after="0"/>
        <w:jc w:val="both"/>
        <w:rPr>
          <w:rFonts w:ascii="Arial" w:hAnsi="Arial" w:cs="Arial"/>
          <w:b/>
          <w:bCs/>
          <w:sz w:val="20"/>
          <w:szCs w:val="20"/>
          <w:u w:val="single"/>
        </w:rPr>
      </w:pPr>
      <w:r w:rsidRPr="00182A46">
        <w:rPr>
          <w:rFonts w:ascii="Arial" w:hAnsi="Arial" w:cs="Arial"/>
          <w:b/>
          <w:bCs/>
          <w:sz w:val="20"/>
          <w:szCs w:val="20"/>
          <w:u w:val="single"/>
        </w:rPr>
        <w:t>Zagadnienie prawne:</w:t>
      </w:r>
    </w:p>
    <w:p w14:paraId="2350AFD5" w14:textId="77777777" w:rsidR="00686464" w:rsidRDefault="00686464" w:rsidP="00182A46">
      <w:pPr>
        <w:spacing w:after="0"/>
        <w:jc w:val="both"/>
        <w:rPr>
          <w:rFonts w:ascii="Arial" w:hAnsi="Arial" w:cs="Arial"/>
          <w:sz w:val="20"/>
          <w:szCs w:val="20"/>
        </w:rPr>
      </w:pPr>
    </w:p>
    <w:p w14:paraId="1B7116E1" w14:textId="15742233"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 xml:space="preserve">W ramach programu regionalnego Fundusze Europejskie dla </w:t>
      </w:r>
      <w:r w:rsidR="00952F7F" w:rsidRPr="00182A46">
        <w:rPr>
          <w:rFonts w:ascii="Arial" w:hAnsi="Arial" w:cs="Arial"/>
          <w:sz w:val="20"/>
          <w:szCs w:val="20"/>
        </w:rPr>
        <w:t>poszczególnych województw na lata</w:t>
      </w:r>
      <w:r w:rsidRPr="00182A46">
        <w:rPr>
          <w:rFonts w:ascii="Arial" w:hAnsi="Arial" w:cs="Arial"/>
          <w:sz w:val="20"/>
          <w:szCs w:val="20"/>
        </w:rPr>
        <w:t xml:space="preserve"> 2021-2027 obowiązuje kryterium dostępu odnoszące się do zgodności projektu z Kart</w:t>
      </w:r>
      <w:r w:rsidR="00952F7F" w:rsidRPr="00182A46">
        <w:rPr>
          <w:rFonts w:ascii="Arial" w:hAnsi="Arial" w:cs="Arial"/>
          <w:sz w:val="20"/>
          <w:szCs w:val="20"/>
        </w:rPr>
        <w:t>ą</w:t>
      </w:r>
      <w:r w:rsidRPr="00182A46">
        <w:rPr>
          <w:rFonts w:ascii="Arial" w:hAnsi="Arial" w:cs="Arial"/>
          <w:sz w:val="20"/>
          <w:szCs w:val="20"/>
        </w:rPr>
        <w:t xml:space="preserve"> Praw Podstawowych Unii Europejskiej</w:t>
      </w:r>
      <w:r w:rsidR="001E30D5" w:rsidRPr="00182A46">
        <w:rPr>
          <w:rFonts w:ascii="Arial" w:hAnsi="Arial" w:cs="Arial"/>
          <w:sz w:val="20"/>
          <w:szCs w:val="20"/>
        </w:rPr>
        <w:t xml:space="preserve"> (dalej: KPP)</w:t>
      </w:r>
      <w:r w:rsidRPr="00182A46">
        <w:rPr>
          <w:rFonts w:ascii="Arial" w:hAnsi="Arial" w:cs="Arial"/>
          <w:sz w:val="20"/>
          <w:szCs w:val="20"/>
        </w:rPr>
        <w:t xml:space="preserve">. Kryterium to zakłada konieczność zapewnienia, aby zarówno zakres projektu, sposób jego realizacji, jak również działalność samego wnioskodawcy pozostawały zgodne z prawami i wolnościami gwarantowanymi przez Kartę. </w:t>
      </w:r>
    </w:p>
    <w:p w14:paraId="5C8776ED" w14:textId="43EA843D"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Ocena spełnienia tego wymogu następuje przede wszystkim na podstawie treści wniosku o dofinansowanie, w szczególności w zakresie odnoszącym się do realizacji zasad horyzontalnych oraz przestrzegania standardów niedyskryminacyjnych wynikających z prawa Unii Europejskiej. Jednocześnie, program odwołuje się do art. 9 UST. 3 Rozporządzenia Parlamentu Europejskiego i Rady (UE) 2021/1060, zgodnie z którym wsparcie w ramach polityki spójności może być kierowane wyłącznie do podmiotów przestrzegających zasad</w:t>
      </w:r>
      <w:r w:rsidR="00952F7F" w:rsidRPr="00182A46">
        <w:rPr>
          <w:rFonts w:ascii="Arial" w:hAnsi="Arial" w:cs="Arial"/>
          <w:sz w:val="20"/>
          <w:szCs w:val="20"/>
        </w:rPr>
        <w:t>ę</w:t>
      </w:r>
      <w:r w:rsidRPr="00182A46">
        <w:rPr>
          <w:rFonts w:ascii="Arial" w:hAnsi="Arial" w:cs="Arial"/>
          <w:sz w:val="20"/>
          <w:szCs w:val="20"/>
        </w:rPr>
        <w:t xml:space="preserve"> równego traktowania oraz zakazu dyskryminacji. W praktyce oznacza to obowiązek złożenia przez wnioskodawcę stosownego oświadczenia potwierdzającego, że nie podejmował działań sprzecznych z zasadami niedyskryminacji, nie wydano wobec niego rozstrzygnięć stwierdzających prowadzenie takich działań ani nie uwzględniono skarg dotyczących naruszenia tych standardów. Wymóg ten odnosi się do jednostek samorządu terytorialnego oraz podmiotów pozostających pod ich kontrolą lub zależnych organizacyjnie.</w:t>
      </w:r>
    </w:p>
    <w:p w14:paraId="053BA2E4" w14:textId="77777777" w:rsidR="00686464" w:rsidRDefault="00686464" w:rsidP="00182A46">
      <w:pPr>
        <w:spacing w:after="0"/>
        <w:jc w:val="both"/>
        <w:rPr>
          <w:rFonts w:ascii="Arial" w:hAnsi="Arial" w:cs="Arial"/>
          <w:sz w:val="20"/>
          <w:szCs w:val="20"/>
        </w:rPr>
      </w:pPr>
    </w:p>
    <w:p w14:paraId="53EA3CFC" w14:textId="74FF67BD"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Na tle powyższych regulacji pojawiły się wątpliwości związane z pod</w:t>
      </w:r>
      <w:r w:rsidR="00952F7F" w:rsidRPr="00182A46">
        <w:rPr>
          <w:rFonts w:ascii="Arial" w:hAnsi="Arial" w:cs="Arial"/>
          <w:sz w:val="20"/>
          <w:szCs w:val="20"/>
        </w:rPr>
        <w:t>ejmowanymi przez Organy jednostek samorządu terytorialnego</w:t>
      </w:r>
      <w:r w:rsidRPr="00182A46">
        <w:rPr>
          <w:rFonts w:ascii="Arial" w:hAnsi="Arial" w:cs="Arial"/>
          <w:sz w:val="20"/>
          <w:szCs w:val="20"/>
        </w:rPr>
        <w:t xml:space="preserve"> uchwał dot. wyrażenia sprzeciwu wobec relokacji nielegalnych migrantów na obszarze powiatu w ramach tzw. Paku Migracyjnego. Instytucja Zarządzająca </w:t>
      </w:r>
      <w:r w:rsidR="001E30D5" w:rsidRPr="00182A46">
        <w:rPr>
          <w:rFonts w:ascii="Arial" w:hAnsi="Arial" w:cs="Arial"/>
          <w:sz w:val="20"/>
          <w:szCs w:val="20"/>
        </w:rPr>
        <w:t xml:space="preserve">dla programu </w:t>
      </w:r>
      <w:r w:rsidRPr="00182A46">
        <w:rPr>
          <w:rFonts w:ascii="Arial" w:hAnsi="Arial" w:cs="Arial"/>
          <w:sz w:val="20"/>
          <w:szCs w:val="20"/>
        </w:rPr>
        <w:t>F</w:t>
      </w:r>
      <w:r w:rsidR="001E30D5" w:rsidRPr="00182A46">
        <w:rPr>
          <w:rFonts w:ascii="Arial" w:hAnsi="Arial" w:cs="Arial"/>
          <w:sz w:val="20"/>
          <w:szCs w:val="20"/>
        </w:rPr>
        <w:t>undusze Europejskie (dalej: IZ FE)</w:t>
      </w:r>
      <w:r w:rsidRPr="00182A46">
        <w:rPr>
          <w:rFonts w:ascii="Arial" w:hAnsi="Arial" w:cs="Arial"/>
          <w:sz w:val="20"/>
          <w:szCs w:val="20"/>
        </w:rPr>
        <w:t xml:space="preserve"> </w:t>
      </w:r>
      <w:r w:rsidR="001E30D5" w:rsidRPr="00182A46">
        <w:rPr>
          <w:rFonts w:ascii="Arial" w:hAnsi="Arial" w:cs="Arial"/>
          <w:sz w:val="20"/>
          <w:szCs w:val="20"/>
        </w:rPr>
        <w:t xml:space="preserve">oraz jej regionalni wykonawcy </w:t>
      </w:r>
      <w:r w:rsidRPr="00182A46">
        <w:rPr>
          <w:rFonts w:ascii="Arial" w:hAnsi="Arial" w:cs="Arial"/>
          <w:sz w:val="20"/>
          <w:szCs w:val="20"/>
        </w:rPr>
        <w:t>wskaza</w:t>
      </w:r>
      <w:r w:rsidR="001E30D5" w:rsidRPr="00182A46">
        <w:rPr>
          <w:rFonts w:ascii="Arial" w:hAnsi="Arial" w:cs="Arial"/>
          <w:sz w:val="20"/>
          <w:szCs w:val="20"/>
        </w:rPr>
        <w:t>li</w:t>
      </w:r>
      <w:r w:rsidRPr="00182A46">
        <w:rPr>
          <w:rFonts w:ascii="Arial" w:hAnsi="Arial" w:cs="Arial"/>
          <w:sz w:val="20"/>
          <w:szCs w:val="20"/>
        </w:rPr>
        <w:t xml:space="preserve">, że treść </w:t>
      </w:r>
      <w:r w:rsidR="001E30D5" w:rsidRPr="00182A46">
        <w:rPr>
          <w:rFonts w:ascii="Arial" w:hAnsi="Arial" w:cs="Arial"/>
          <w:sz w:val="20"/>
          <w:szCs w:val="20"/>
        </w:rPr>
        <w:t xml:space="preserve">takich </w:t>
      </w:r>
      <w:r w:rsidRPr="00182A46">
        <w:rPr>
          <w:rFonts w:ascii="Arial" w:hAnsi="Arial" w:cs="Arial"/>
          <w:sz w:val="20"/>
          <w:szCs w:val="20"/>
        </w:rPr>
        <w:t>uchwał może pozostawać w kolizji z postanowieniami Karty Praw Podstawowych UE, w szczególności z art. 18 statuującym prawo do azylu. Przepis ten gwarantuje ochronę prawa do ubiegania się o azyl z poszanowaniem standardów wynikających z Konwencji genewskiej dot. statusu uchodźców oraz prawa traktatowego UE. W stanowisku I</w:t>
      </w:r>
      <w:r w:rsidR="001E30D5" w:rsidRPr="00182A46">
        <w:rPr>
          <w:rFonts w:ascii="Arial" w:hAnsi="Arial" w:cs="Arial"/>
          <w:sz w:val="20"/>
          <w:szCs w:val="20"/>
        </w:rPr>
        <w:t>Z</w:t>
      </w:r>
      <w:r w:rsidRPr="00182A46">
        <w:rPr>
          <w:rFonts w:ascii="Arial" w:hAnsi="Arial" w:cs="Arial"/>
          <w:sz w:val="20"/>
          <w:szCs w:val="20"/>
        </w:rPr>
        <w:t xml:space="preserve"> FE</w:t>
      </w:r>
      <w:r w:rsidR="001E30D5" w:rsidRPr="00182A46">
        <w:rPr>
          <w:rFonts w:ascii="Arial" w:hAnsi="Arial" w:cs="Arial"/>
          <w:sz w:val="20"/>
          <w:szCs w:val="20"/>
        </w:rPr>
        <w:t xml:space="preserve"> </w:t>
      </w:r>
      <w:r w:rsidRPr="00182A46">
        <w:rPr>
          <w:rFonts w:ascii="Arial" w:hAnsi="Arial" w:cs="Arial"/>
          <w:sz w:val="20"/>
          <w:szCs w:val="20"/>
        </w:rPr>
        <w:t xml:space="preserve">podniesiono również możliwość naruszenia art. 21 ust. 2 KPP </w:t>
      </w:r>
      <w:r w:rsidR="00213668" w:rsidRPr="00182A46">
        <w:rPr>
          <w:rFonts w:ascii="Arial" w:hAnsi="Arial" w:cs="Arial"/>
          <w:sz w:val="20"/>
          <w:szCs w:val="20"/>
        </w:rPr>
        <w:t xml:space="preserve">UE </w:t>
      </w:r>
      <w:r w:rsidRPr="00182A46">
        <w:rPr>
          <w:rFonts w:ascii="Arial" w:hAnsi="Arial" w:cs="Arial"/>
          <w:sz w:val="20"/>
          <w:szCs w:val="20"/>
        </w:rPr>
        <w:t>ustanawiającego zakaz dyskryminacji ze względu na przynależność państwową. Zastrzeżenia odniesiono także do fragmentów uzasadnienia uchwały, w których wskazywano m.in. na rzekomy ponadprzeciętny udział migrantów pochodzących z państw Afryki i Bliskiego Wschodu w przestępstwach przeciwko życiu, zdrowiu oraz bezpieczeństwu publicznemu.  Zdaniem IZ FE tego rodzaju sformułowania mogą prowadzić do stygmatyzacji określonych grup osób, a tym samym pozostawać w sprzeczności z zasadą poszanowania godności człowieka wyrażoną w art. 1 KPP.</w:t>
      </w:r>
    </w:p>
    <w:p w14:paraId="72C9BF9F" w14:textId="77777777" w:rsidR="00686464" w:rsidRDefault="00686464" w:rsidP="00182A46">
      <w:pPr>
        <w:spacing w:after="0"/>
        <w:jc w:val="both"/>
        <w:rPr>
          <w:rFonts w:ascii="Arial" w:hAnsi="Arial" w:cs="Arial"/>
          <w:b/>
          <w:bCs/>
          <w:sz w:val="20"/>
          <w:szCs w:val="20"/>
        </w:rPr>
      </w:pPr>
    </w:p>
    <w:p w14:paraId="5C32760C" w14:textId="5BE4C796" w:rsidR="00816E5C" w:rsidRDefault="00816E5C" w:rsidP="00182A46">
      <w:pPr>
        <w:spacing w:after="0"/>
        <w:jc w:val="both"/>
        <w:rPr>
          <w:rFonts w:ascii="Arial" w:hAnsi="Arial" w:cs="Arial"/>
          <w:b/>
          <w:bCs/>
          <w:sz w:val="20"/>
          <w:szCs w:val="20"/>
        </w:rPr>
      </w:pPr>
      <w:r w:rsidRPr="00182A46">
        <w:rPr>
          <w:rFonts w:ascii="Arial" w:hAnsi="Arial" w:cs="Arial"/>
          <w:b/>
          <w:bCs/>
          <w:sz w:val="20"/>
          <w:szCs w:val="20"/>
        </w:rPr>
        <w:t>W konsekwencji powstała potrzeba oceny, czy sama treść uchwały oraz jej uzasadnienia może zostać zakwalifikowany jako naruszenie standardów wynikających z Karty Praw Podstawowych UE</w:t>
      </w:r>
      <w:r w:rsidR="00384A46" w:rsidRPr="00182A46">
        <w:rPr>
          <w:rFonts w:ascii="Arial" w:hAnsi="Arial" w:cs="Arial"/>
          <w:b/>
          <w:bCs/>
          <w:sz w:val="20"/>
          <w:szCs w:val="20"/>
        </w:rPr>
        <w:t xml:space="preserve"> (KPP</w:t>
      </w:r>
      <w:r w:rsidR="00213668" w:rsidRPr="00182A46">
        <w:rPr>
          <w:rFonts w:ascii="Arial" w:hAnsi="Arial" w:cs="Arial"/>
          <w:b/>
          <w:bCs/>
          <w:sz w:val="20"/>
          <w:szCs w:val="20"/>
        </w:rPr>
        <w:t xml:space="preserve"> UE</w:t>
      </w:r>
      <w:r w:rsidR="00384A46" w:rsidRPr="00182A46">
        <w:rPr>
          <w:rFonts w:ascii="Arial" w:hAnsi="Arial" w:cs="Arial"/>
          <w:b/>
          <w:bCs/>
          <w:sz w:val="20"/>
          <w:szCs w:val="20"/>
        </w:rPr>
        <w:t>)</w:t>
      </w:r>
      <w:r w:rsidRPr="00182A46">
        <w:rPr>
          <w:rFonts w:ascii="Arial" w:hAnsi="Arial" w:cs="Arial"/>
          <w:b/>
          <w:bCs/>
          <w:sz w:val="20"/>
          <w:szCs w:val="20"/>
        </w:rPr>
        <w:t xml:space="preserve">, a także czy </w:t>
      </w:r>
      <w:r w:rsidRPr="00182A46">
        <w:rPr>
          <w:rFonts w:ascii="Arial" w:hAnsi="Arial" w:cs="Arial"/>
          <w:b/>
          <w:bCs/>
          <w:sz w:val="20"/>
          <w:szCs w:val="20"/>
          <w:u w:val="single"/>
        </w:rPr>
        <w:t>okoliczność ta może wpływać na możliwość ubiegania się o środk</w:t>
      </w:r>
      <w:r w:rsidR="00384A46" w:rsidRPr="00182A46">
        <w:rPr>
          <w:rFonts w:ascii="Arial" w:hAnsi="Arial" w:cs="Arial"/>
          <w:b/>
          <w:bCs/>
          <w:sz w:val="20"/>
          <w:szCs w:val="20"/>
          <w:u w:val="single"/>
        </w:rPr>
        <w:t>i</w:t>
      </w:r>
      <w:r w:rsidRPr="00182A46">
        <w:rPr>
          <w:rFonts w:ascii="Arial" w:hAnsi="Arial" w:cs="Arial"/>
          <w:b/>
          <w:bCs/>
          <w:sz w:val="20"/>
          <w:szCs w:val="20"/>
          <w:u w:val="single"/>
        </w:rPr>
        <w:t xml:space="preserve"> w ramach programu FE 2021-2027 przez </w:t>
      </w:r>
      <w:r w:rsidR="00384A46" w:rsidRPr="00182A46">
        <w:rPr>
          <w:rFonts w:ascii="Arial" w:hAnsi="Arial" w:cs="Arial"/>
          <w:b/>
          <w:bCs/>
          <w:sz w:val="20"/>
          <w:szCs w:val="20"/>
          <w:u w:val="single"/>
        </w:rPr>
        <w:t xml:space="preserve">jednostki </w:t>
      </w:r>
      <w:r w:rsidR="00213668" w:rsidRPr="00182A46">
        <w:rPr>
          <w:rFonts w:ascii="Arial" w:hAnsi="Arial" w:cs="Arial"/>
          <w:b/>
          <w:bCs/>
          <w:sz w:val="20"/>
          <w:szCs w:val="20"/>
          <w:u w:val="single"/>
        </w:rPr>
        <w:t>samorządu terytorialnego</w:t>
      </w:r>
      <w:r w:rsidRPr="00182A46">
        <w:rPr>
          <w:rFonts w:ascii="Arial" w:hAnsi="Arial" w:cs="Arial"/>
          <w:b/>
          <w:bCs/>
          <w:sz w:val="20"/>
          <w:szCs w:val="20"/>
          <w:u w:val="single"/>
        </w:rPr>
        <w:t xml:space="preserve"> oraz podmioty z nim organizacyjnie lub kapitałowo powiązane</w:t>
      </w:r>
      <w:r w:rsidRPr="00182A46">
        <w:rPr>
          <w:rFonts w:ascii="Arial" w:hAnsi="Arial" w:cs="Arial"/>
          <w:b/>
          <w:bCs/>
          <w:sz w:val="20"/>
          <w:szCs w:val="20"/>
        </w:rPr>
        <w:t>.</w:t>
      </w:r>
    </w:p>
    <w:p w14:paraId="02BBAE91" w14:textId="77777777" w:rsidR="00686464" w:rsidRDefault="00686464" w:rsidP="00182A46">
      <w:pPr>
        <w:spacing w:after="0"/>
        <w:jc w:val="both"/>
        <w:rPr>
          <w:rFonts w:ascii="Arial" w:hAnsi="Arial" w:cs="Arial"/>
          <w:b/>
          <w:bCs/>
          <w:sz w:val="20"/>
          <w:szCs w:val="20"/>
        </w:rPr>
      </w:pPr>
    </w:p>
    <w:p w14:paraId="1A3B9806" w14:textId="49DDBA09" w:rsidR="00686464" w:rsidRPr="00686464" w:rsidRDefault="00686464" w:rsidP="00182A46">
      <w:pPr>
        <w:spacing w:after="0"/>
        <w:jc w:val="both"/>
        <w:rPr>
          <w:rFonts w:ascii="Arial" w:hAnsi="Arial" w:cs="Arial"/>
          <w:sz w:val="20"/>
          <w:szCs w:val="20"/>
        </w:rPr>
      </w:pPr>
      <w:r>
        <w:rPr>
          <w:rFonts w:ascii="Arial" w:hAnsi="Arial" w:cs="Arial"/>
          <w:sz w:val="20"/>
          <w:szCs w:val="20"/>
        </w:rPr>
        <w:t>Niniejsza Opinia prawna powstała w oparciu o analizę kilkunastu uchwał Organów jednostek samorządu terytorialnego.</w:t>
      </w:r>
    </w:p>
    <w:p w14:paraId="39F049FF" w14:textId="77777777" w:rsidR="00213668" w:rsidRPr="00182A46" w:rsidRDefault="00213668" w:rsidP="00182A46">
      <w:pPr>
        <w:spacing w:after="0"/>
        <w:jc w:val="both"/>
        <w:rPr>
          <w:rFonts w:ascii="Arial" w:hAnsi="Arial" w:cs="Arial"/>
          <w:b/>
          <w:bCs/>
          <w:sz w:val="20"/>
          <w:szCs w:val="20"/>
          <w:u w:val="single"/>
        </w:rPr>
      </w:pPr>
    </w:p>
    <w:p w14:paraId="491B80AA" w14:textId="7C67ECB1" w:rsidR="00213668" w:rsidRPr="00182A46" w:rsidRDefault="00213668" w:rsidP="00182A46">
      <w:pPr>
        <w:spacing w:after="0"/>
        <w:jc w:val="both"/>
        <w:rPr>
          <w:rFonts w:ascii="Arial" w:hAnsi="Arial" w:cs="Arial"/>
          <w:b/>
          <w:bCs/>
          <w:sz w:val="20"/>
          <w:szCs w:val="20"/>
          <w:u w:val="single"/>
        </w:rPr>
      </w:pPr>
      <w:r w:rsidRPr="00182A46">
        <w:rPr>
          <w:rFonts w:ascii="Arial" w:hAnsi="Arial" w:cs="Arial"/>
          <w:b/>
          <w:bCs/>
          <w:sz w:val="20"/>
          <w:szCs w:val="20"/>
          <w:u w:val="single"/>
        </w:rPr>
        <w:t>Stanowisko:</w:t>
      </w:r>
    </w:p>
    <w:p w14:paraId="7DD47B7E" w14:textId="77777777" w:rsidR="00213668" w:rsidRPr="00182A46" w:rsidRDefault="00213668" w:rsidP="00182A46">
      <w:pPr>
        <w:spacing w:after="0"/>
        <w:jc w:val="both"/>
        <w:rPr>
          <w:rFonts w:ascii="Arial" w:hAnsi="Arial" w:cs="Arial"/>
          <w:sz w:val="20"/>
          <w:szCs w:val="20"/>
          <w:u w:val="single"/>
        </w:rPr>
      </w:pPr>
    </w:p>
    <w:p w14:paraId="16E796C9" w14:textId="2FB2EA55" w:rsidR="00816E5C" w:rsidRPr="00182A46" w:rsidRDefault="00213668" w:rsidP="00182A46">
      <w:pPr>
        <w:spacing w:after="0"/>
        <w:jc w:val="both"/>
        <w:rPr>
          <w:rFonts w:ascii="Arial" w:hAnsi="Arial" w:cs="Arial"/>
          <w:sz w:val="20"/>
          <w:szCs w:val="20"/>
          <w:u w:val="single"/>
        </w:rPr>
      </w:pPr>
      <w:r w:rsidRPr="00182A46">
        <w:rPr>
          <w:rFonts w:ascii="Arial" w:hAnsi="Arial" w:cs="Arial"/>
          <w:sz w:val="20"/>
          <w:szCs w:val="20"/>
          <w:u w:val="single"/>
        </w:rPr>
        <w:t>Należy wskazać, iż s</w:t>
      </w:r>
      <w:r w:rsidR="00816E5C" w:rsidRPr="00182A46">
        <w:rPr>
          <w:rFonts w:ascii="Arial" w:hAnsi="Arial" w:cs="Arial"/>
          <w:sz w:val="20"/>
          <w:szCs w:val="20"/>
          <w:u w:val="single"/>
        </w:rPr>
        <w:t>amo podjęcie uchwały dot. sprzeciwu wobec relokacji nielegalnych migrantów nie przesądza automatycznie o naruszeniu Karty Praw Podstawowych Unii Europejskiej, w szczególności art. 18 KPP statuującego prawo do azylu. Ocena zgodności uchwały z Kartą wymaga ustalenia, czy jej treść oraz rzeczywiste skutki prowadzą do ograniczenia lub wyłączenia praw gwarantowanych przez prawo UE, a nie jedynie wyrażają stanowisko polityczne lub deklaratywne organu jednostki samorządu terytorialnego.</w:t>
      </w:r>
    </w:p>
    <w:p w14:paraId="0495F96E" w14:textId="77777777" w:rsidR="00686464" w:rsidRDefault="00686464" w:rsidP="00182A46">
      <w:pPr>
        <w:spacing w:after="0"/>
        <w:jc w:val="both"/>
        <w:rPr>
          <w:rFonts w:ascii="Arial" w:hAnsi="Arial" w:cs="Arial"/>
          <w:sz w:val="20"/>
          <w:szCs w:val="20"/>
        </w:rPr>
      </w:pPr>
    </w:p>
    <w:p w14:paraId="4D904A20" w14:textId="5A36D4FE" w:rsidR="00816E5C" w:rsidRPr="00182A46" w:rsidRDefault="00816E5C" w:rsidP="00182A46">
      <w:pPr>
        <w:spacing w:after="0"/>
        <w:jc w:val="both"/>
        <w:rPr>
          <w:rFonts w:ascii="Arial" w:hAnsi="Arial" w:cs="Arial"/>
          <w:sz w:val="20"/>
          <w:szCs w:val="20"/>
          <w:u w:val="single"/>
        </w:rPr>
      </w:pPr>
      <w:r w:rsidRPr="00182A46">
        <w:rPr>
          <w:rFonts w:ascii="Arial" w:hAnsi="Arial" w:cs="Arial"/>
          <w:sz w:val="20"/>
          <w:szCs w:val="20"/>
        </w:rPr>
        <w:lastRenderedPageBreak/>
        <w:t xml:space="preserve">Ewentualnie, samo uznanie, że określone postanowienia uchwały lub jej uzasadnienia pozostają w sprzeczności z zasadami wynikającymi z KPP UE, </w:t>
      </w:r>
      <w:r w:rsidRPr="00182A46">
        <w:rPr>
          <w:rFonts w:ascii="Arial" w:hAnsi="Arial" w:cs="Arial"/>
          <w:sz w:val="20"/>
          <w:szCs w:val="20"/>
          <w:u w:val="single"/>
        </w:rPr>
        <w:t xml:space="preserve">nie prowadzi automatycznie do przyjęcia, że wszystkie projekty składane przez </w:t>
      </w:r>
      <w:r w:rsidR="00213668" w:rsidRPr="00182A46">
        <w:rPr>
          <w:rFonts w:ascii="Arial" w:hAnsi="Arial" w:cs="Arial"/>
          <w:sz w:val="20"/>
          <w:szCs w:val="20"/>
          <w:u w:val="single"/>
        </w:rPr>
        <w:t>jednostkę samorządu terytorialnego</w:t>
      </w:r>
      <w:r w:rsidRPr="00182A46">
        <w:rPr>
          <w:rFonts w:ascii="Arial" w:hAnsi="Arial" w:cs="Arial"/>
          <w:sz w:val="20"/>
          <w:szCs w:val="20"/>
          <w:u w:val="single"/>
        </w:rPr>
        <w:t>, je</w:t>
      </w:r>
      <w:r w:rsidR="00213668" w:rsidRPr="00182A46">
        <w:rPr>
          <w:rFonts w:ascii="Arial" w:hAnsi="Arial" w:cs="Arial"/>
          <w:sz w:val="20"/>
          <w:szCs w:val="20"/>
          <w:u w:val="single"/>
        </w:rPr>
        <w:t>j</w:t>
      </w:r>
      <w:r w:rsidRPr="00182A46">
        <w:rPr>
          <w:rFonts w:ascii="Arial" w:hAnsi="Arial" w:cs="Arial"/>
          <w:sz w:val="20"/>
          <w:szCs w:val="20"/>
          <w:u w:val="single"/>
        </w:rPr>
        <w:t xml:space="preserve"> jednostki organizacyjne, podmioty zależne lub spółki z udziałem </w:t>
      </w:r>
      <w:r w:rsidR="00213668" w:rsidRPr="00182A46">
        <w:rPr>
          <w:rFonts w:ascii="Arial" w:hAnsi="Arial" w:cs="Arial"/>
          <w:sz w:val="20"/>
          <w:szCs w:val="20"/>
          <w:u w:val="single"/>
        </w:rPr>
        <w:t>tej jednostki</w:t>
      </w:r>
      <w:r w:rsidRPr="00182A46">
        <w:rPr>
          <w:rFonts w:ascii="Arial" w:hAnsi="Arial" w:cs="Arial"/>
          <w:sz w:val="20"/>
          <w:szCs w:val="20"/>
          <w:u w:val="single"/>
        </w:rPr>
        <w:t xml:space="preserve"> nie spełniają kryteriów dostępu przewidzianych w ramach programu Fundusze Europejskie 2021-2027</w:t>
      </w:r>
      <w:r w:rsidRPr="00182A46">
        <w:rPr>
          <w:rFonts w:ascii="Arial" w:hAnsi="Arial" w:cs="Arial"/>
          <w:sz w:val="20"/>
          <w:szCs w:val="20"/>
        </w:rPr>
        <w:t xml:space="preserve">. Konieczne pozostaje bowiem </w:t>
      </w:r>
      <w:r w:rsidRPr="00182A46">
        <w:rPr>
          <w:rFonts w:ascii="Arial" w:hAnsi="Arial" w:cs="Arial"/>
          <w:sz w:val="20"/>
          <w:szCs w:val="20"/>
          <w:u w:val="single"/>
        </w:rPr>
        <w:t>wykazanie rzeczywistego i konkretnego związku pomiędzy działalnością danego beneficjenta, a naruszeniem zasad niedyskryminacji lub praw podstawowych, o których mowa w art. 9 ust. 3 Rozporządzenia 2021/1060.</w:t>
      </w:r>
    </w:p>
    <w:p w14:paraId="5EDF1845" w14:textId="77777777" w:rsidR="00213668" w:rsidRPr="00182A46" w:rsidRDefault="00213668" w:rsidP="00182A46">
      <w:pPr>
        <w:spacing w:after="0"/>
        <w:rPr>
          <w:rFonts w:ascii="Arial" w:hAnsi="Arial" w:cs="Arial"/>
          <w:b/>
          <w:bCs/>
          <w:sz w:val="20"/>
          <w:szCs w:val="20"/>
        </w:rPr>
      </w:pPr>
    </w:p>
    <w:p w14:paraId="64836022" w14:textId="77777777" w:rsidR="00686464" w:rsidRDefault="00686464" w:rsidP="00182A46">
      <w:pPr>
        <w:spacing w:after="0"/>
        <w:rPr>
          <w:rFonts w:ascii="Arial" w:hAnsi="Arial" w:cs="Arial"/>
          <w:b/>
          <w:bCs/>
          <w:sz w:val="20"/>
          <w:szCs w:val="20"/>
        </w:rPr>
      </w:pPr>
    </w:p>
    <w:p w14:paraId="337894CD" w14:textId="088EACAF" w:rsidR="00816E5C" w:rsidRPr="00182A46" w:rsidRDefault="00816E5C" w:rsidP="00182A46">
      <w:pPr>
        <w:spacing w:after="0"/>
        <w:rPr>
          <w:rFonts w:ascii="Arial" w:hAnsi="Arial" w:cs="Arial"/>
          <w:b/>
          <w:bCs/>
          <w:sz w:val="20"/>
          <w:szCs w:val="20"/>
        </w:rPr>
      </w:pPr>
      <w:r w:rsidRPr="00182A46">
        <w:rPr>
          <w:rFonts w:ascii="Arial" w:hAnsi="Arial" w:cs="Arial"/>
          <w:b/>
          <w:bCs/>
          <w:sz w:val="20"/>
          <w:szCs w:val="20"/>
        </w:rPr>
        <w:t>Podstawa prawna</w:t>
      </w:r>
    </w:p>
    <w:p w14:paraId="3D942862" w14:textId="77777777" w:rsidR="00213668" w:rsidRPr="00182A46" w:rsidRDefault="00213668" w:rsidP="00182A46">
      <w:pPr>
        <w:spacing w:after="0"/>
        <w:rPr>
          <w:rFonts w:ascii="Arial" w:hAnsi="Arial" w:cs="Arial"/>
          <w:b/>
          <w:bCs/>
          <w:sz w:val="20"/>
          <w:szCs w:val="20"/>
        </w:rPr>
      </w:pPr>
    </w:p>
    <w:p w14:paraId="33F15AE2" w14:textId="552E2A84" w:rsidR="00816E5C" w:rsidRPr="00182A46" w:rsidRDefault="00816E5C" w:rsidP="00182A46">
      <w:pPr>
        <w:pStyle w:val="Akapitzlist"/>
        <w:numPr>
          <w:ilvl w:val="0"/>
          <w:numId w:val="39"/>
        </w:numPr>
        <w:tabs>
          <w:tab w:val="left" w:pos="426"/>
        </w:tabs>
        <w:spacing w:after="0"/>
        <w:ind w:left="0" w:firstLine="0"/>
        <w:jc w:val="both"/>
        <w:rPr>
          <w:rFonts w:ascii="Arial" w:hAnsi="Arial" w:cs="Arial"/>
          <w:sz w:val="20"/>
          <w:szCs w:val="20"/>
        </w:rPr>
      </w:pPr>
      <w:r w:rsidRPr="00182A46">
        <w:rPr>
          <w:rFonts w:ascii="Arial" w:hAnsi="Arial" w:cs="Arial"/>
          <w:sz w:val="20"/>
          <w:szCs w:val="20"/>
          <w:u w:val="single"/>
        </w:rPr>
        <w:t>R</w:t>
      </w:r>
      <w:r w:rsidR="00213668" w:rsidRPr="00182A46">
        <w:rPr>
          <w:rFonts w:ascii="Arial" w:hAnsi="Arial" w:cs="Arial"/>
          <w:sz w:val="20"/>
          <w:szCs w:val="20"/>
          <w:u w:val="single"/>
        </w:rPr>
        <w:t>ozporządzenie</w:t>
      </w:r>
      <w:r w:rsidRPr="00182A46">
        <w:rPr>
          <w:rFonts w:ascii="Arial" w:hAnsi="Arial" w:cs="Arial"/>
          <w:sz w:val="20"/>
          <w:szCs w:val="20"/>
          <w:u w:val="single"/>
        </w:rPr>
        <w:t xml:space="preserve"> P</w:t>
      </w:r>
      <w:r w:rsidR="00213668" w:rsidRPr="00182A46">
        <w:rPr>
          <w:rFonts w:ascii="Arial" w:hAnsi="Arial" w:cs="Arial"/>
          <w:sz w:val="20"/>
          <w:szCs w:val="20"/>
          <w:u w:val="single"/>
        </w:rPr>
        <w:t>arlamentu</w:t>
      </w:r>
      <w:r w:rsidRPr="00182A46">
        <w:rPr>
          <w:rFonts w:ascii="Arial" w:hAnsi="Arial" w:cs="Arial"/>
          <w:sz w:val="20"/>
          <w:szCs w:val="20"/>
          <w:u w:val="single"/>
        </w:rPr>
        <w:t xml:space="preserve"> E</w:t>
      </w:r>
      <w:r w:rsidR="00213668" w:rsidRPr="00182A46">
        <w:rPr>
          <w:rFonts w:ascii="Arial" w:hAnsi="Arial" w:cs="Arial"/>
          <w:sz w:val="20"/>
          <w:szCs w:val="20"/>
          <w:u w:val="single"/>
        </w:rPr>
        <w:t>uropejskiego i Rady</w:t>
      </w:r>
      <w:r w:rsidRPr="00182A46">
        <w:rPr>
          <w:rFonts w:ascii="Arial" w:hAnsi="Arial" w:cs="Arial"/>
          <w:sz w:val="20"/>
          <w:szCs w:val="20"/>
          <w:u w:val="single"/>
        </w:rPr>
        <w:t xml:space="preserve"> (UE) 2021/1060</w:t>
      </w:r>
      <w:r w:rsidR="00213668" w:rsidRPr="00182A46">
        <w:rPr>
          <w:rFonts w:ascii="Arial" w:hAnsi="Arial" w:cs="Arial"/>
          <w:sz w:val="20"/>
          <w:szCs w:val="20"/>
          <w:u w:val="single"/>
        </w:rPr>
        <w:t xml:space="preserve"> </w:t>
      </w:r>
      <w:r w:rsidRPr="00182A46">
        <w:rPr>
          <w:rFonts w:ascii="Arial" w:hAnsi="Arial" w:cs="Arial"/>
          <w:sz w:val="20"/>
          <w:szCs w:val="20"/>
          <w:u w:val="single"/>
        </w:rPr>
        <w:t>z dnia 24 czerwca 2021 r.</w:t>
      </w:r>
      <w:r w:rsidRPr="00182A46">
        <w:rPr>
          <w:rFonts w:ascii="Arial" w:hAnsi="Arial" w:cs="Arial"/>
          <w:sz w:val="20"/>
          <w:szCs w:val="20"/>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213668" w:rsidRPr="00182A46">
        <w:rPr>
          <w:rFonts w:ascii="Arial" w:hAnsi="Arial" w:cs="Arial"/>
          <w:sz w:val="20"/>
          <w:szCs w:val="20"/>
        </w:rPr>
        <w:t>.</w:t>
      </w:r>
    </w:p>
    <w:p w14:paraId="5A3D3066" w14:textId="77777777" w:rsidR="00686464" w:rsidRDefault="00686464" w:rsidP="00182A46">
      <w:pPr>
        <w:spacing w:after="0"/>
        <w:jc w:val="both"/>
        <w:rPr>
          <w:rFonts w:ascii="Arial" w:hAnsi="Arial" w:cs="Arial"/>
          <w:sz w:val="20"/>
          <w:szCs w:val="20"/>
          <w:u w:val="single"/>
        </w:rPr>
      </w:pPr>
    </w:p>
    <w:p w14:paraId="4D3864D8" w14:textId="200E28BA" w:rsidR="00816E5C" w:rsidRDefault="00816E5C" w:rsidP="00182A46">
      <w:pPr>
        <w:spacing w:after="0"/>
        <w:jc w:val="both"/>
        <w:rPr>
          <w:rFonts w:ascii="Arial" w:hAnsi="Arial" w:cs="Arial"/>
          <w:sz w:val="20"/>
          <w:szCs w:val="20"/>
          <w:u w:val="single"/>
        </w:rPr>
      </w:pPr>
      <w:r w:rsidRPr="00182A46">
        <w:rPr>
          <w:rFonts w:ascii="Arial" w:hAnsi="Arial" w:cs="Arial"/>
          <w:sz w:val="20"/>
          <w:szCs w:val="20"/>
          <w:u w:val="single"/>
        </w:rPr>
        <w:t>Artykuł 9 Zasady horyzontalne</w:t>
      </w:r>
      <w:r w:rsidR="00213668" w:rsidRPr="00182A46">
        <w:rPr>
          <w:rFonts w:ascii="Arial" w:hAnsi="Arial" w:cs="Arial"/>
          <w:sz w:val="20"/>
          <w:szCs w:val="20"/>
          <w:u w:val="single"/>
        </w:rPr>
        <w:t>:</w:t>
      </w:r>
    </w:p>
    <w:p w14:paraId="7B1E8822" w14:textId="77777777" w:rsidR="00686464" w:rsidRPr="00182A46" w:rsidRDefault="00686464" w:rsidP="00182A46">
      <w:pPr>
        <w:spacing w:after="0"/>
        <w:jc w:val="both"/>
        <w:rPr>
          <w:rFonts w:ascii="Arial" w:hAnsi="Arial" w:cs="Arial"/>
          <w:sz w:val="20"/>
          <w:szCs w:val="20"/>
          <w:u w:val="single"/>
        </w:rPr>
      </w:pPr>
    </w:p>
    <w:p w14:paraId="07819D05" w14:textId="77777777" w:rsidR="00816E5C" w:rsidRPr="00182A46" w:rsidRDefault="00816E5C" w:rsidP="00182A46">
      <w:pPr>
        <w:spacing w:after="0"/>
        <w:jc w:val="both"/>
        <w:rPr>
          <w:rFonts w:ascii="Arial" w:hAnsi="Arial" w:cs="Arial"/>
          <w:i/>
          <w:sz w:val="20"/>
          <w:szCs w:val="20"/>
        </w:rPr>
      </w:pPr>
      <w:r w:rsidRPr="00182A46">
        <w:rPr>
          <w:rFonts w:ascii="Arial" w:hAnsi="Arial" w:cs="Arial"/>
          <w:i/>
          <w:sz w:val="20"/>
          <w:szCs w:val="20"/>
        </w:rPr>
        <w:t>1.   Państwa członkowskie i Komisja zapewniają poszanowanie praw podstawowych oraz przestrzeganie Karty praw podstawowych Unii Europejskiej w procesie wdrażania Funduszy.</w:t>
      </w:r>
    </w:p>
    <w:p w14:paraId="12718789" w14:textId="77777777" w:rsidR="00816E5C" w:rsidRPr="00182A46" w:rsidRDefault="00816E5C" w:rsidP="00182A46">
      <w:pPr>
        <w:spacing w:after="0"/>
        <w:jc w:val="both"/>
        <w:rPr>
          <w:rFonts w:ascii="Arial" w:hAnsi="Arial" w:cs="Arial"/>
          <w:i/>
          <w:sz w:val="20"/>
          <w:szCs w:val="20"/>
        </w:rPr>
      </w:pPr>
      <w:r w:rsidRPr="00182A46">
        <w:rPr>
          <w:rFonts w:ascii="Arial" w:hAnsi="Arial" w:cs="Arial"/>
          <w:i/>
          <w:sz w:val="20"/>
          <w:szCs w:val="20"/>
        </w:rPr>
        <w:t>2.   Państwa członkowskie i Komisja zapewniają, by równość mężczyzn i kobiet oraz uwzględnianie aspektu i perspektywy płci brano pod uwagę i propagowano w całym procesie przygotowywania, wdrażania, monitorowania, sprawozdawczości i ewaluacji programów.</w:t>
      </w:r>
    </w:p>
    <w:p w14:paraId="28694785" w14:textId="77777777" w:rsidR="00816E5C" w:rsidRPr="00182A46" w:rsidRDefault="00816E5C" w:rsidP="00182A46">
      <w:pPr>
        <w:spacing w:after="0"/>
        <w:jc w:val="both"/>
        <w:rPr>
          <w:rFonts w:ascii="Arial" w:hAnsi="Arial" w:cs="Arial"/>
          <w:i/>
          <w:sz w:val="20"/>
          <w:szCs w:val="20"/>
        </w:rPr>
      </w:pPr>
      <w:r w:rsidRPr="00182A46">
        <w:rPr>
          <w:rFonts w:ascii="Arial" w:hAnsi="Arial" w:cs="Arial"/>
          <w:i/>
          <w:sz w:val="20"/>
          <w:szCs w:val="20"/>
        </w:rPr>
        <w:t>3.   Państwa członkowskie i Komisja podejmują odpowiednie kroki w celu zapobiegania wszelkiej dyskryminacji ze względu na płeć, rasę lub pochodzenie etniczne, religię lub światopogląd, niepełnosprawność, wiek lub orientację seksualną podczas przygotowywania, wdrażania, monitorowania, sprawozdawczości i ewaluacji programów. W procesie przygotowywania i wdrażania programów należy w szczególności wziąć pod uwagę zapewnienie dostępności dla osób z niepełnosprawnościami.</w:t>
      </w:r>
    </w:p>
    <w:p w14:paraId="69E98E5C" w14:textId="77777777" w:rsidR="00816E5C" w:rsidRPr="00182A46" w:rsidRDefault="00816E5C" w:rsidP="00182A46">
      <w:pPr>
        <w:spacing w:after="0"/>
        <w:jc w:val="both"/>
        <w:rPr>
          <w:rFonts w:ascii="Arial" w:hAnsi="Arial" w:cs="Arial"/>
          <w:i/>
          <w:sz w:val="20"/>
          <w:szCs w:val="20"/>
        </w:rPr>
      </w:pPr>
    </w:p>
    <w:p w14:paraId="40073F7B" w14:textId="0E19830A" w:rsidR="00816E5C" w:rsidRPr="00182A46" w:rsidRDefault="00816E5C" w:rsidP="00182A46">
      <w:pPr>
        <w:pStyle w:val="Akapitzlist"/>
        <w:numPr>
          <w:ilvl w:val="0"/>
          <w:numId w:val="39"/>
        </w:numPr>
        <w:spacing w:after="0"/>
        <w:ind w:left="284" w:hanging="284"/>
        <w:jc w:val="both"/>
        <w:rPr>
          <w:rFonts w:ascii="Arial" w:eastAsia="Times New Roman" w:hAnsi="Arial" w:cs="Arial"/>
          <w:sz w:val="20"/>
          <w:szCs w:val="20"/>
          <w:u w:val="single"/>
        </w:rPr>
      </w:pPr>
      <w:r w:rsidRPr="00182A46">
        <w:rPr>
          <w:rFonts w:ascii="Arial" w:eastAsia="Times New Roman" w:hAnsi="Arial" w:cs="Arial"/>
          <w:sz w:val="20"/>
          <w:szCs w:val="20"/>
          <w:u w:val="single"/>
        </w:rPr>
        <w:t xml:space="preserve">Ustawa z dnia 3 grudnia 2010 r. o wdrożeniu niektórych przepisów Unii Europejskiej w zakresie równego traktowania (Dz.U.2020.2156 </w:t>
      </w:r>
      <w:proofErr w:type="spellStart"/>
      <w:r w:rsidRPr="00182A46">
        <w:rPr>
          <w:rFonts w:ascii="Arial" w:eastAsia="Times New Roman" w:hAnsi="Arial" w:cs="Arial"/>
          <w:sz w:val="20"/>
          <w:szCs w:val="20"/>
          <w:u w:val="single"/>
        </w:rPr>
        <w:t>t.j.ze</w:t>
      </w:r>
      <w:proofErr w:type="spellEnd"/>
      <w:r w:rsidRPr="00182A46">
        <w:rPr>
          <w:rFonts w:ascii="Arial" w:eastAsia="Times New Roman" w:hAnsi="Arial" w:cs="Arial"/>
          <w:sz w:val="20"/>
          <w:szCs w:val="20"/>
          <w:u w:val="single"/>
        </w:rPr>
        <w:t xml:space="preserve"> </w:t>
      </w:r>
      <w:proofErr w:type="spellStart"/>
      <w:r w:rsidRPr="00182A46">
        <w:rPr>
          <w:rFonts w:ascii="Arial" w:eastAsia="Times New Roman" w:hAnsi="Arial" w:cs="Arial"/>
          <w:sz w:val="20"/>
          <w:szCs w:val="20"/>
          <w:u w:val="single"/>
        </w:rPr>
        <w:t>zm</w:t>
      </w:r>
      <w:proofErr w:type="spellEnd"/>
      <w:r w:rsidRPr="00182A46">
        <w:rPr>
          <w:rFonts w:ascii="Arial" w:eastAsia="Times New Roman" w:hAnsi="Arial" w:cs="Arial"/>
          <w:sz w:val="20"/>
          <w:szCs w:val="20"/>
          <w:u w:val="single"/>
        </w:rPr>
        <w:t>)</w:t>
      </w:r>
      <w:r w:rsidR="00213668" w:rsidRPr="00182A46">
        <w:rPr>
          <w:rFonts w:ascii="Arial" w:eastAsia="Times New Roman" w:hAnsi="Arial" w:cs="Arial"/>
          <w:sz w:val="20"/>
          <w:szCs w:val="20"/>
          <w:u w:val="single"/>
        </w:rPr>
        <w:t>.</w:t>
      </w:r>
    </w:p>
    <w:p w14:paraId="24886818" w14:textId="77777777" w:rsidR="00686464" w:rsidRDefault="00686464" w:rsidP="00182A46">
      <w:pPr>
        <w:spacing w:after="0"/>
        <w:jc w:val="both"/>
        <w:rPr>
          <w:rFonts w:ascii="Arial" w:eastAsia="Times New Roman" w:hAnsi="Arial" w:cs="Arial"/>
          <w:sz w:val="20"/>
          <w:szCs w:val="20"/>
        </w:rPr>
      </w:pPr>
    </w:p>
    <w:p w14:paraId="2304B2BE" w14:textId="1F0BD8C9" w:rsidR="00816E5C" w:rsidRDefault="00816E5C" w:rsidP="00182A46">
      <w:pPr>
        <w:spacing w:after="0"/>
        <w:jc w:val="both"/>
        <w:rPr>
          <w:rFonts w:ascii="Arial" w:eastAsia="Times New Roman" w:hAnsi="Arial" w:cs="Arial"/>
          <w:sz w:val="20"/>
          <w:szCs w:val="20"/>
        </w:rPr>
      </w:pPr>
      <w:r w:rsidRPr="00182A46">
        <w:rPr>
          <w:rFonts w:ascii="Arial" w:eastAsia="Times New Roman" w:hAnsi="Arial" w:cs="Arial"/>
          <w:sz w:val="20"/>
          <w:szCs w:val="20"/>
        </w:rPr>
        <w:t xml:space="preserve">Art.  3.  [Definicje ustawowe] Ilekroć w </w:t>
      </w:r>
      <w:r w:rsidRPr="00182A46">
        <w:rPr>
          <w:rFonts w:ascii="Arial" w:eastAsia="Times New Roman" w:hAnsi="Arial" w:cs="Arial"/>
          <w:i/>
          <w:iCs/>
          <w:sz w:val="20"/>
          <w:szCs w:val="20"/>
        </w:rPr>
        <w:t>ustawie</w:t>
      </w:r>
      <w:r w:rsidRPr="00182A46">
        <w:rPr>
          <w:rFonts w:ascii="Arial" w:eastAsia="Times New Roman" w:hAnsi="Arial" w:cs="Arial"/>
          <w:sz w:val="20"/>
          <w:szCs w:val="20"/>
        </w:rPr>
        <w:t xml:space="preserve"> jest mowa o:</w:t>
      </w:r>
    </w:p>
    <w:p w14:paraId="4AAEBB79" w14:textId="77777777" w:rsidR="00686464" w:rsidRPr="00182A46" w:rsidRDefault="00686464" w:rsidP="00182A46">
      <w:pPr>
        <w:spacing w:after="0"/>
        <w:jc w:val="both"/>
        <w:rPr>
          <w:rFonts w:ascii="Arial" w:eastAsia="Times New Roman" w:hAnsi="Arial" w:cs="Arial"/>
          <w:sz w:val="20"/>
          <w:szCs w:val="20"/>
        </w:rPr>
      </w:pPr>
    </w:p>
    <w:p w14:paraId="0649D707" w14:textId="77777777" w:rsidR="00816E5C" w:rsidRPr="00182A46" w:rsidRDefault="00816E5C" w:rsidP="00182A46">
      <w:pPr>
        <w:spacing w:after="0"/>
        <w:jc w:val="both"/>
        <w:rPr>
          <w:rFonts w:ascii="Arial" w:eastAsia="Times New Roman" w:hAnsi="Arial" w:cs="Arial"/>
          <w:i/>
          <w:sz w:val="20"/>
          <w:szCs w:val="20"/>
        </w:rPr>
      </w:pPr>
      <w:r w:rsidRPr="00182A46">
        <w:rPr>
          <w:rFonts w:ascii="Arial" w:eastAsia="Times New Roman" w:hAnsi="Arial" w:cs="Arial"/>
          <w:b/>
          <w:bCs/>
          <w:i/>
          <w:sz w:val="20"/>
          <w:szCs w:val="20"/>
        </w:rPr>
        <w:t>dyskryminacji bezpośredniej</w:t>
      </w:r>
      <w:r w:rsidRPr="00182A46">
        <w:rPr>
          <w:rFonts w:ascii="Arial" w:eastAsia="Times New Roman" w:hAnsi="Arial" w:cs="Arial"/>
          <w:i/>
          <w:sz w:val="20"/>
          <w:szCs w:val="20"/>
        </w:rPr>
        <w:t xml:space="preserve"> - rozumie się przez to sytuację, w której osoba fizyczna ze względu na płeć, rasę, pochodzenie etniczne, narodowość, religię, wyznanie, światopogląd, niepełnosprawność, wiek lub orientację seksualną </w:t>
      </w:r>
      <w:r w:rsidRPr="00182A46">
        <w:rPr>
          <w:rFonts w:ascii="Arial" w:eastAsia="Times New Roman" w:hAnsi="Arial" w:cs="Arial"/>
          <w:b/>
          <w:bCs/>
          <w:i/>
          <w:sz w:val="20"/>
          <w:szCs w:val="20"/>
          <w:u w:val="single"/>
        </w:rPr>
        <w:t xml:space="preserve">jest </w:t>
      </w:r>
      <w:r w:rsidRPr="00182A46">
        <w:rPr>
          <w:rFonts w:ascii="Arial" w:eastAsia="Times New Roman" w:hAnsi="Arial" w:cs="Arial"/>
          <w:b/>
          <w:bCs/>
          <w:i/>
          <w:iCs/>
          <w:sz w:val="20"/>
          <w:szCs w:val="20"/>
          <w:u w:val="single"/>
        </w:rPr>
        <w:t>traktowana</w:t>
      </w:r>
      <w:r w:rsidRPr="00182A46">
        <w:rPr>
          <w:rFonts w:ascii="Arial" w:eastAsia="Times New Roman" w:hAnsi="Arial" w:cs="Arial"/>
          <w:b/>
          <w:bCs/>
          <w:i/>
          <w:sz w:val="20"/>
          <w:szCs w:val="20"/>
          <w:u w:val="single"/>
        </w:rPr>
        <w:t xml:space="preserve"> mniej korzystnie</w:t>
      </w:r>
      <w:r w:rsidRPr="00182A46">
        <w:rPr>
          <w:rFonts w:ascii="Arial" w:eastAsia="Times New Roman" w:hAnsi="Arial" w:cs="Arial"/>
          <w:i/>
          <w:sz w:val="20"/>
          <w:szCs w:val="20"/>
        </w:rPr>
        <w:t xml:space="preserve"> niż jest, była lub byłaby </w:t>
      </w:r>
      <w:r w:rsidRPr="00182A46">
        <w:rPr>
          <w:rFonts w:ascii="Arial" w:eastAsia="Times New Roman" w:hAnsi="Arial" w:cs="Arial"/>
          <w:i/>
          <w:iCs/>
          <w:sz w:val="20"/>
          <w:szCs w:val="20"/>
        </w:rPr>
        <w:t>traktowana</w:t>
      </w:r>
      <w:r w:rsidRPr="00182A46">
        <w:rPr>
          <w:rFonts w:ascii="Arial" w:eastAsia="Times New Roman" w:hAnsi="Arial" w:cs="Arial"/>
          <w:i/>
          <w:sz w:val="20"/>
          <w:szCs w:val="20"/>
        </w:rPr>
        <w:t xml:space="preserve"> inna osoba w porównywalnej sytuacji;</w:t>
      </w:r>
    </w:p>
    <w:p w14:paraId="39F962BC" w14:textId="77777777" w:rsidR="00686464" w:rsidRDefault="00686464" w:rsidP="00182A46">
      <w:pPr>
        <w:spacing w:after="0"/>
        <w:jc w:val="both"/>
        <w:rPr>
          <w:rFonts w:ascii="Arial" w:eastAsia="Times New Roman" w:hAnsi="Arial" w:cs="Arial"/>
          <w:b/>
          <w:bCs/>
          <w:i/>
          <w:sz w:val="20"/>
          <w:szCs w:val="20"/>
        </w:rPr>
      </w:pPr>
    </w:p>
    <w:p w14:paraId="56975C9B" w14:textId="2C5AFF1A" w:rsidR="00816E5C" w:rsidRPr="00182A46" w:rsidRDefault="00816E5C" w:rsidP="00182A46">
      <w:pPr>
        <w:spacing w:after="0"/>
        <w:jc w:val="both"/>
        <w:rPr>
          <w:rFonts w:ascii="Arial" w:eastAsia="Times New Roman" w:hAnsi="Arial" w:cs="Arial"/>
          <w:i/>
          <w:sz w:val="20"/>
          <w:szCs w:val="20"/>
        </w:rPr>
      </w:pPr>
      <w:r w:rsidRPr="00182A46">
        <w:rPr>
          <w:rFonts w:ascii="Arial" w:eastAsia="Times New Roman" w:hAnsi="Arial" w:cs="Arial"/>
          <w:b/>
          <w:bCs/>
          <w:i/>
          <w:sz w:val="20"/>
          <w:szCs w:val="20"/>
        </w:rPr>
        <w:t>dyskryminacji pośredniej</w:t>
      </w:r>
      <w:r w:rsidRPr="00182A46">
        <w:rPr>
          <w:rFonts w:ascii="Arial" w:eastAsia="Times New Roman" w:hAnsi="Arial" w:cs="Arial"/>
          <w:i/>
          <w:sz w:val="20"/>
          <w:szCs w:val="20"/>
        </w:rPr>
        <w:t xml:space="preserve"> - rozumie się przez to </w:t>
      </w:r>
      <w:r w:rsidRPr="00182A46">
        <w:rPr>
          <w:rFonts w:ascii="Arial" w:eastAsia="Times New Roman" w:hAnsi="Arial" w:cs="Arial"/>
          <w:b/>
          <w:bCs/>
          <w:i/>
          <w:sz w:val="20"/>
          <w:szCs w:val="20"/>
          <w:u w:val="single"/>
        </w:rPr>
        <w:t>sytuację</w:t>
      </w:r>
      <w:r w:rsidRPr="00182A46">
        <w:rPr>
          <w:rFonts w:ascii="Arial" w:eastAsia="Times New Roman" w:hAnsi="Arial" w:cs="Arial"/>
          <w:b/>
          <w:bCs/>
          <w:i/>
          <w:sz w:val="20"/>
          <w:szCs w:val="20"/>
        </w:rPr>
        <w:t xml:space="preserve">, </w:t>
      </w:r>
      <w:r w:rsidRPr="00182A46">
        <w:rPr>
          <w:rFonts w:ascii="Arial" w:eastAsia="Times New Roman" w:hAnsi="Arial" w:cs="Arial"/>
          <w:b/>
          <w:bCs/>
          <w:i/>
          <w:sz w:val="20"/>
          <w:szCs w:val="20"/>
          <w:u w:val="single"/>
        </w:rPr>
        <w:t>w której</w:t>
      </w:r>
      <w:r w:rsidRPr="00182A46">
        <w:rPr>
          <w:rFonts w:ascii="Arial" w:eastAsia="Times New Roman" w:hAnsi="Arial" w:cs="Arial"/>
          <w:i/>
          <w:sz w:val="20"/>
          <w:szCs w:val="20"/>
        </w:rPr>
        <w:t xml:space="preserve"> dla osoby fizycznej ze względu na płeć, rasę, pochodzenie etniczne, narodowość, religię, wyznanie, światopogląd, niepełnosprawność, wiek lub orientację seksualną na skutek pozornie neutralnego postanowienia, zastosowanego kryterium lub podjętego działania </w:t>
      </w:r>
      <w:r w:rsidRPr="00182A46">
        <w:rPr>
          <w:rFonts w:ascii="Arial" w:eastAsia="Times New Roman" w:hAnsi="Arial" w:cs="Arial"/>
          <w:b/>
          <w:bCs/>
          <w:i/>
          <w:sz w:val="20"/>
          <w:szCs w:val="20"/>
          <w:u w:val="single"/>
        </w:rPr>
        <w:t>występują lub mogłyby wystąpić niekorzystne dysproporcje lub szczególnie niekorzystna dla niej sytuacja</w:t>
      </w:r>
      <w:r w:rsidRPr="00182A46">
        <w:rPr>
          <w:rFonts w:ascii="Arial" w:eastAsia="Times New Roman" w:hAnsi="Arial" w:cs="Arial"/>
          <w:i/>
          <w:sz w:val="20"/>
          <w:szCs w:val="20"/>
        </w:rPr>
        <w:t>, chyba że postanowienie, kryterium lub działanie jest obiektywnie uzasadnione ze względu na zgodny z prawem cel, który ma być osiągnięty, a środki służące osiągnięciu tego celu są właściwe i konieczne;</w:t>
      </w:r>
    </w:p>
    <w:p w14:paraId="4F501889" w14:textId="77777777" w:rsidR="00686464" w:rsidRDefault="00686464" w:rsidP="00182A46">
      <w:pPr>
        <w:spacing w:after="0"/>
        <w:jc w:val="both"/>
        <w:rPr>
          <w:rFonts w:ascii="Arial" w:eastAsia="Times New Roman" w:hAnsi="Arial" w:cs="Arial"/>
          <w:i/>
          <w:sz w:val="20"/>
          <w:szCs w:val="20"/>
        </w:rPr>
      </w:pPr>
    </w:p>
    <w:p w14:paraId="07C89D86" w14:textId="2F4D9B6B" w:rsidR="00816E5C" w:rsidRPr="00182A46" w:rsidRDefault="00816E5C" w:rsidP="00182A46">
      <w:pPr>
        <w:spacing w:after="0"/>
        <w:jc w:val="both"/>
        <w:rPr>
          <w:rFonts w:ascii="Arial" w:eastAsia="Times New Roman" w:hAnsi="Arial" w:cs="Arial"/>
          <w:i/>
          <w:sz w:val="20"/>
          <w:szCs w:val="20"/>
        </w:rPr>
      </w:pPr>
      <w:r w:rsidRPr="00182A46">
        <w:rPr>
          <w:rFonts w:ascii="Arial" w:eastAsia="Times New Roman" w:hAnsi="Arial" w:cs="Arial"/>
          <w:i/>
          <w:sz w:val="20"/>
          <w:szCs w:val="20"/>
        </w:rPr>
        <w:t xml:space="preserve">5)  </w:t>
      </w:r>
      <w:r w:rsidRPr="00686464">
        <w:rPr>
          <w:rFonts w:ascii="Arial" w:eastAsia="Times New Roman" w:hAnsi="Arial" w:cs="Arial"/>
          <w:b/>
          <w:bCs/>
          <w:i/>
          <w:sz w:val="20"/>
          <w:szCs w:val="20"/>
        </w:rPr>
        <w:t xml:space="preserve">nierównym </w:t>
      </w:r>
      <w:r w:rsidRPr="00686464">
        <w:rPr>
          <w:rFonts w:ascii="Arial" w:eastAsia="Times New Roman" w:hAnsi="Arial" w:cs="Arial"/>
          <w:b/>
          <w:bCs/>
          <w:i/>
          <w:iCs/>
          <w:sz w:val="20"/>
          <w:szCs w:val="20"/>
        </w:rPr>
        <w:t>traktowaniu</w:t>
      </w:r>
      <w:r w:rsidRPr="00182A46">
        <w:rPr>
          <w:rFonts w:ascii="Arial" w:eastAsia="Times New Roman" w:hAnsi="Arial" w:cs="Arial"/>
          <w:i/>
          <w:sz w:val="20"/>
          <w:szCs w:val="20"/>
        </w:rPr>
        <w:t xml:space="preserve"> - rozumie się przez to </w:t>
      </w:r>
      <w:r w:rsidRPr="00182A46">
        <w:rPr>
          <w:rFonts w:ascii="Arial" w:eastAsia="Times New Roman" w:hAnsi="Arial" w:cs="Arial"/>
          <w:i/>
          <w:iCs/>
          <w:sz w:val="20"/>
          <w:szCs w:val="20"/>
        </w:rPr>
        <w:t>traktowanie</w:t>
      </w:r>
      <w:r w:rsidRPr="00182A46">
        <w:rPr>
          <w:rFonts w:ascii="Arial" w:eastAsia="Times New Roman" w:hAnsi="Arial" w:cs="Arial"/>
          <w:i/>
          <w:sz w:val="20"/>
          <w:szCs w:val="20"/>
        </w:rPr>
        <w:t xml:space="preserve"> osób fizycznych w sposób będący jednym lub kilkoma z następujących </w:t>
      </w:r>
      <w:proofErr w:type="spellStart"/>
      <w:r w:rsidRPr="00182A46">
        <w:rPr>
          <w:rFonts w:ascii="Arial" w:eastAsia="Times New Roman" w:hAnsi="Arial" w:cs="Arial"/>
          <w:i/>
          <w:sz w:val="20"/>
          <w:szCs w:val="20"/>
        </w:rPr>
        <w:t>zachowań</w:t>
      </w:r>
      <w:proofErr w:type="spellEnd"/>
      <w:r w:rsidRPr="00182A46">
        <w:rPr>
          <w:rFonts w:ascii="Arial" w:eastAsia="Times New Roman" w:hAnsi="Arial" w:cs="Arial"/>
          <w:i/>
          <w:sz w:val="20"/>
          <w:szCs w:val="20"/>
        </w:rPr>
        <w:t xml:space="preserve">: dyskryminacją bezpośrednią, dyskryminacją pośrednią, molestowaniem, molestowaniem seksualnym, a także mniej korzystnym </w:t>
      </w:r>
      <w:r w:rsidRPr="00182A46">
        <w:rPr>
          <w:rFonts w:ascii="Arial" w:eastAsia="Times New Roman" w:hAnsi="Arial" w:cs="Arial"/>
          <w:i/>
          <w:iCs/>
          <w:sz w:val="20"/>
          <w:szCs w:val="20"/>
        </w:rPr>
        <w:t>traktowaniem</w:t>
      </w:r>
      <w:r w:rsidRPr="00182A46">
        <w:rPr>
          <w:rFonts w:ascii="Arial" w:eastAsia="Times New Roman" w:hAnsi="Arial" w:cs="Arial"/>
          <w:i/>
          <w:sz w:val="20"/>
          <w:szCs w:val="20"/>
        </w:rPr>
        <w:t xml:space="preserve"> osoby fizycznej wynikającym z odrzucenia molestowania lub molestowania seksualnego lub podporządkowania się molestowaniu lub molestowaniu seksualnemu, oraz zachęcanie do takich </w:t>
      </w:r>
      <w:proofErr w:type="spellStart"/>
      <w:r w:rsidRPr="00182A46">
        <w:rPr>
          <w:rFonts w:ascii="Arial" w:eastAsia="Times New Roman" w:hAnsi="Arial" w:cs="Arial"/>
          <w:i/>
          <w:sz w:val="20"/>
          <w:szCs w:val="20"/>
        </w:rPr>
        <w:t>zachowań</w:t>
      </w:r>
      <w:proofErr w:type="spellEnd"/>
      <w:r w:rsidRPr="00182A46">
        <w:rPr>
          <w:rFonts w:ascii="Arial" w:eastAsia="Times New Roman" w:hAnsi="Arial" w:cs="Arial"/>
          <w:i/>
          <w:sz w:val="20"/>
          <w:szCs w:val="20"/>
        </w:rPr>
        <w:t xml:space="preserve"> i nakazywanie tych </w:t>
      </w:r>
      <w:proofErr w:type="spellStart"/>
      <w:r w:rsidRPr="00182A46">
        <w:rPr>
          <w:rFonts w:ascii="Arial" w:eastAsia="Times New Roman" w:hAnsi="Arial" w:cs="Arial"/>
          <w:i/>
          <w:sz w:val="20"/>
          <w:szCs w:val="20"/>
        </w:rPr>
        <w:t>zachowań</w:t>
      </w:r>
      <w:proofErr w:type="spellEnd"/>
      <w:r w:rsidR="00213668" w:rsidRPr="00182A46">
        <w:rPr>
          <w:rFonts w:ascii="Arial" w:eastAsia="Times New Roman" w:hAnsi="Arial" w:cs="Arial"/>
          <w:i/>
          <w:sz w:val="20"/>
          <w:szCs w:val="20"/>
        </w:rPr>
        <w:t>.</w:t>
      </w:r>
    </w:p>
    <w:p w14:paraId="12BF4E68" w14:textId="77777777" w:rsidR="00213668" w:rsidRPr="00182A46" w:rsidRDefault="00213668" w:rsidP="00182A46">
      <w:pPr>
        <w:spacing w:after="0"/>
        <w:jc w:val="both"/>
        <w:rPr>
          <w:rFonts w:ascii="Arial" w:eastAsia="Times New Roman" w:hAnsi="Arial" w:cs="Arial"/>
          <w:i/>
          <w:sz w:val="20"/>
          <w:szCs w:val="20"/>
        </w:rPr>
      </w:pPr>
    </w:p>
    <w:p w14:paraId="2F095DDA" w14:textId="282BA0A7" w:rsidR="00816E5C" w:rsidRDefault="00816E5C" w:rsidP="00182A46">
      <w:pPr>
        <w:pStyle w:val="Akapitzlist"/>
        <w:numPr>
          <w:ilvl w:val="0"/>
          <w:numId w:val="39"/>
        </w:numPr>
        <w:spacing w:after="0"/>
        <w:ind w:left="426" w:hanging="426"/>
        <w:jc w:val="both"/>
        <w:rPr>
          <w:rFonts w:ascii="Arial" w:eastAsia="Times New Roman" w:hAnsi="Arial" w:cs="Arial"/>
          <w:sz w:val="20"/>
          <w:szCs w:val="20"/>
          <w:u w:val="single"/>
        </w:rPr>
      </w:pPr>
      <w:r w:rsidRPr="00182A46">
        <w:rPr>
          <w:rFonts w:ascii="Arial" w:eastAsia="Times New Roman" w:hAnsi="Arial" w:cs="Arial"/>
          <w:sz w:val="20"/>
          <w:szCs w:val="20"/>
          <w:u w:val="single"/>
        </w:rPr>
        <w:t>Konstytucja RP</w:t>
      </w:r>
      <w:r w:rsidR="00213668" w:rsidRPr="00182A46">
        <w:rPr>
          <w:rFonts w:ascii="Arial" w:eastAsia="Times New Roman" w:hAnsi="Arial" w:cs="Arial"/>
          <w:sz w:val="20"/>
          <w:szCs w:val="20"/>
          <w:u w:val="single"/>
        </w:rPr>
        <w:t>.</w:t>
      </w:r>
    </w:p>
    <w:p w14:paraId="38DDF783" w14:textId="77777777" w:rsidR="00686464" w:rsidRPr="00182A46" w:rsidRDefault="00686464" w:rsidP="00686464">
      <w:pPr>
        <w:pStyle w:val="Akapitzlist"/>
        <w:spacing w:after="0"/>
        <w:ind w:left="426"/>
        <w:jc w:val="both"/>
        <w:rPr>
          <w:rFonts w:ascii="Arial" w:eastAsia="Times New Roman" w:hAnsi="Arial" w:cs="Arial"/>
          <w:sz w:val="20"/>
          <w:szCs w:val="20"/>
          <w:u w:val="single"/>
        </w:rPr>
      </w:pPr>
    </w:p>
    <w:p w14:paraId="15623BD4" w14:textId="2CBEE1DD" w:rsidR="00816E5C" w:rsidRDefault="00816E5C" w:rsidP="00182A46">
      <w:pPr>
        <w:spacing w:after="0"/>
        <w:jc w:val="both"/>
        <w:rPr>
          <w:rFonts w:ascii="Arial" w:eastAsia="Times New Roman" w:hAnsi="Arial" w:cs="Arial"/>
          <w:b/>
          <w:bCs/>
          <w:sz w:val="20"/>
          <w:szCs w:val="20"/>
        </w:rPr>
      </w:pPr>
      <w:r w:rsidRPr="00182A46">
        <w:rPr>
          <w:rFonts w:ascii="Arial" w:eastAsia="Times New Roman" w:hAnsi="Arial" w:cs="Arial"/>
          <w:b/>
          <w:bCs/>
          <w:sz w:val="20"/>
          <w:szCs w:val="20"/>
        </w:rPr>
        <w:t>Art.  32.  [Zasada równości; zakaz dyskryminacji]</w:t>
      </w:r>
      <w:r w:rsidR="00213668" w:rsidRPr="00182A46">
        <w:rPr>
          <w:rFonts w:ascii="Arial" w:eastAsia="Times New Roman" w:hAnsi="Arial" w:cs="Arial"/>
          <w:b/>
          <w:bCs/>
          <w:sz w:val="20"/>
          <w:szCs w:val="20"/>
        </w:rPr>
        <w:t>:</w:t>
      </w:r>
    </w:p>
    <w:p w14:paraId="1372724E" w14:textId="77777777" w:rsidR="00686464" w:rsidRPr="00182A46" w:rsidRDefault="00686464" w:rsidP="00182A46">
      <w:pPr>
        <w:spacing w:after="0"/>
        <w:jc w:val="both"/>
        <w:rPr>
          <w:rFonts w:ascii="Arial" w:eastAsia="Times New Roman" w:hAnsi="Arial" w:cs="Arial"/>
          <w:b/>
          <w:bCs/>
          <w:sz w:val="20"/>
          <w:szCs w:val="20"/>
        </w:rPr>
      </w:pPr>
    </w:p>
    <w:p w14:paraId="749E005D" w14:textId="77777777" w:rsidR="00816E5C" w:rsidRPr="00182A46" w:rsidRDefault="00816E5C" w:rsidP="00182A46">
      <w:pPr>
        <w:spacing w:after="0"/>
        <w:jc w:val="both"/>
        <w:rPr>
          <w:rFonts w:ascii="Arial" w:eastAsia="Times New Roman" w:hAnsi="Arial" w:cs="Arial"/>
          <w:i/>
          <w:sz w:val="20"/>
          <w:szCs w:val="20"/>
        </w:rPr>
      </w:pPr>
      <w:r w:rsidRPr="00182A46">
        <w:rPr>
          <w:rFonts w:ascii="Arial" w:eastAsia="Times New Roman" w:hAnsi="Arial" w:cs="Arial"/>
          <w:i/>
          <w:sz w:val="20"/>
          <w:szCs w:val="20"/>
        </w:rPr>
        <w:lastRenderedPageBreak/>
        <w:t>1.  Wszyscy są wobec prawa równi. Wszyscy mają prawo do równego traktowania przez władze publiczne.</w:t>
      </w:r>
    </w:p>
    <w:p w14:paraId="6C80F382" w14:textId="77777777" w:rsidR="00816E5C" w:rsidRPr="00182A46" w:rsidRDefault="00816E5C" w:rsidP="00182A46">
      <w:pPr>
        <w:spacing w:after="0"/>
        <w:jc w:val="both"/>
        <w:rPr>
          <w:rFonts w:ascii="Arial" w:eastAsia="Times New Roman" w:hAnsi="Arial" w:cs="Arial"/>
          <w:i/>
          <w:sz w:val="20"/>
          <w:szCs w:val="20"/>
        </w:rPr>
      </w:pPr>
      <w:r w:rsidRPr="00182A46">
        <w:rPr>
          <w:rFonts w:ascii="Arial" w:eastAsia="Times New Roman" w:hAnsi="Arial" w:cs="Arial"/>
          <w:i/>
          <w:sz w:val="20"/>
          <w:szCs w:val="20"/>
        </w:rPr>
        <w:t>2.  Nikt nie może być dyskryminowany w życiu politycznym, społecznym lub gospodarczym z jakiejkolwiek przyczyny.</w:t>
      </w:r>
    </w:p>
    <w:p w14:paraId="62CD5C18" w14:textId="77777777" w:rsidR="00C67503" w:rsidRPr="00182A46" w:rsidRDefault="00C67503" w:rsidP="00182A46">
      <w:pPr>
        <w:spacing w:after="0"/>
        <w:jc w:val="both"/>
        <w:rPr>
          <w:rFonts w:ascii="Arial" w:eastAsia="Times New Roman" w:hAnsi="Arial" w:cs="Arial"/>
          <w:sz w:val="20"/>
          <w:szCs w:val="20"/>
        </w:rPr>
      </w:pPr>
    </w:p>
    <w:p w14:paraId="2A0AA8A8" w14:textId="1748752D" w:rsidR="00816E5C" w:rsidRPr="00686464" w:rsidRDefault="00C67503" w:rsidP="00686464">
      <w:pPr>
        <w:pStyle w:val="Akapitzlist"/>
        <w:numPr>
          <w:ilvl w:val="0"/>
          <w:numId w:val="39"/>
        </w:numPr>
        <w:spacing w:after="0"/>
        <w:ind w:left="426" w:hanging="426"/>
        <w:jc w:val="both"/>
        <w:rPr>
          <w:rFonts w:ascii="Arial" w:eastAsia="Times New Roman" w:hAnsi="Arial" w:cs="Arial"/>
          <w:sz w:val="20"/>
          <w:szCs w:val="20"/>
          <w:u w:val="single"/>
        </w:rPr>
      </w:pPr>
      <w:r w:rsidRPr="00686464">
        <w:rPr>
          <w:rFonts w:ascii="Arial" w:eastAsia="Times New Roman" w:hAnsi="Arial" w:cs="Arial"/>
          <w:sz w:val="20"/>
          <w:szCs w:val="20"/>
          <w:u w:val="single"/>
        </w:rPr>
        <w:t>T</w:t>
      </w:r>
      <w:r w:rsidR="00816E5C" w:rsidRPr="00686464">
        <w:rPr>
          <w:rFonts w:ascii="Arial" w:eastAsia="Times New Roman" w:hAnsi="Arial" w:cs="Arial"/>
          <w:sz w:val="20"/>
          <w:szCs w:val="20"/>
          <w:u w:val="single"/>
        </w:rPr>
        <w:t xml:space="preserve">zw. „pakt migracyjny” na który składają się: </w:t>
      </w:r>
    </w:p>
    <w:p w14:paraId="635D8F1F" w14:textId="77777777" w:rsidR="00686464" w:rsidRPr="00686464" w:rsidRDefault="00686464" w:rsidP="00686464">
      <w:pPr>
        <w:pStyle w:val="Akapitzlist"/>
        <w:spacing w:after="0"/>
        <w:ind w:left="1080"/>
        <w:jc w:val="both"/>
        <w:rPr>
          <w:rFonts w:ascii="Arial" w:eastAsia="Times New Roman" w:hAnsi="Arial" w:cs="Arial"/>
          <w:sz w:val="20"/>
          <w:szCs w:val="20"/>
          <w:u w:val="single"/>
        </w:rPr>
      </w:pPr>
    </w:p>
    <w:p w14:paraId="75F4F431"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1) Rozporządzenie Parlamentu Europejskiego i Rady (UE) 2024/1351 z 14 maja 2024 r. w sprawie zarządzania azylem i migracją (dalej: rozporządzenie o zarządzaniu azylem i migracją;</w:t>
      </w:r>
    </w:p>
    <w:p w14:paraId="514900B9"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 xml:space="preserve">2) Rozporządzenie Parlamentu Europejskiego i Rady (UE) 2024/1348 z 14 maja 2024 r. w sprawie ustanowienia wspólnej procedury ubiegania się o ochronę międzynarodową w Unii </w:t>
      </w:r>
    </w:p>
    <w:p w14:paraId="78AD9C09"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 xml:space="preserve">3) Rozporządzenie Parlamentu Europejskiego i Rady (UE) 2024/1349 z 14 maja 2024 r. w sprawie ustanowienia </w:t>
      </w:r>
      <w:proofErr w:type="spellStart"/>
      <w:r w:rsidRPr="00686464">
        <w:rPr>
          <w:rFonts w:ascii="Arial" w:hAnsi="Arial" w:cs="Arial"/>
          <w:sz w:val="18"/>
          <w:szCs w:val="18"/>
        </w:rPr>
        <w:t>powrotowej</w:t>
      </w:r>
      <w:proofErr w:type="spellEnd"/>
      <w:r w:rsidRPr="00686464">
        <w:rPr>
          <w:rFonts w:ascii="Arial" w:hAnsi="Arial" w:cs="Arial"/>
          <w:sz w:val="18"/>
          <w:szCs w:val="18"/>
        </w:rPr>
        <w:t xml:space="preserve"> procedury granicznej;</w:t>
      </w:r>
    </w:p>
    <w:p w14:paraId="3747F583"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4) Rozporządzenie Parlamentu Europejskiego i Rady (UE) 2024/1359 z 14 maja 2024 r. w sprawie reagowania na sytuacje kryzysowe i sytuacje spowodowane działaniem siły wyższej w dziedzinie migracji i azylu;</w:t>
      </w:r>
    </w:p>
    <w:p w14:paraId="5EA28053"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 xml:space="preserve">5) Rozporządzenie Parlamentu Europejskiego i Rady (UE) 2024/1358 z 14 maja 2024 r. w sprawie ustanowienia systemu </w:t>
      </w:r>
      <w:proofErr w:type="spellStart"/>
      <w:r w:rsidRPr="00686464">
        <w:rPr>
          <w:rFonts w:ascii="Arial" w:hAnsi="Arial" w:cs="Arial"/>
          <w:sz w:val="18"/>
          <w:szCs w:val="18"/>
        </w:rPr>
        <w:t>Eurodac</w:t>
      </w:r>
      <w:proofErr w:type="spellEnd"/>
      <w:r w:rsidRPr="00686464">
        <w:rPr>
          <w:rFonts w:ascii="Arial" w:hAnsi="Arial" w:cs="Arial"/>
          <w:sz w:val="18"/>
          <w:szCs w:val="18"/>
        </w:rPr>
        <w:t xml:space="preserve"> do porównywania danych biometrycznych w celu skutecznego stosowania rozporządzeń Parlamentu Europejskiego i Rady (UE) 2024/1351 i (UE) 2024/1350i dyrektywy Rady 2001/55/WE oraz w celu identyfikowania nielegalnie przebywających obywateli państw trzecich oraz bezpaństwowców, w sprawie występowania z wnioskami o porównanie z danymi </w:t>
      </w:r>
      <w:proofErr w:type="spellStart"/>
      <w:r w:rsidRPr="00686464">
        <w:rPr>
          <w:rFonts w:ascii="Arial" w:hAnsi="Arial" w:cs="Arial"/>
          <w:sz w:val="18"/>
          <w:szCs w:val="18"/>
        </w:rPr>
        <w:t>Eurodac</w:t>
      </w:r>
      <w:proofErr w:type="spellEnd"/>
      <w:r w:rsidRPr="00686464">
        <w:rPr>
          <w:rFonts w:ascii="Arial" w:hAnsi="Arial" w:cs="Arial"/>
          <w:sz w:val="18"/>
          <w:szCs w:val="18"/>
        </w:rPr>
        <w:t xml:space="preserve"> przez organy ścigania państw członkowskich i Europol na potrzeby ochrony porządku publicznego, w sprawie zmiany rozporządzeń Parlamentu Europejskiego i Rady (UE) 2018/1240 i (UE) 2019/818 oraz w sprawie uchylenia rozporządzenia Parlamentu Europejskiego i Rady (UE) nr 603/20139;</w:t>
      </w:r>
    </w:p>
    <w:p w14:paraId="1B21D2E9"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6) Rozporządzenie Parlamentu Europejskiego i Rady (UE) 2024/1356 z 14 maja 2024 r. w sprawie wprowadzenia kontroli przesiewowej obywateli państw trzecich na granicach zewnętrznych;</w:t>
      </w:r>
    </w:p>
    <w:p w14:paraId="7BA4F78D"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7) Rozporządzenie Parlamentu Europejskiego i Rady (UE) 2024/1352 z 14 maja 2024 r. w sprawie zmiany rozporządzeń (UE) 2019/816 i (UE) 2019/818 do celów wprowadzenia kontroli przesiewowej obywateli państw trzecich na granicach zewnętrznych;</w:t>
      </w:r>
    </w:p>
    <w:p w14:paraId="02B9E44C"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8) Rozporządzenie Parlamentu Europejskiego i Rady (UE) 2024/1347 z 14 maja 2024 r. w sprawie norm dotyczących kwalifikowania obywateli państw trzecich lub bezpaństwowców jako osób korzystających z ochrony międzynarodowej, jednolitego statusu uchodźców lub osób kwalifikujących się do otrzymania ochrony uzupełniającej oraz zakresu udzielanej ochrony;</w:t>
      </w:r>
    </w:p>
    <w:p w14:paraId="3077E5B1"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9) Dyrektywa Parlamentu Europejskiego i Rady (UE) 2024/1346 z 14 maja 2024 r. w sprawie ustanowienia norm dotyczących przyjmowania osób ubiegających się o ochronę międzynarodową;</w:t>
      </w:r>
    </w:p>
    <w:p w14:paraId="02B385FB" w14:textId="77777777" w:rsidR="00816E5C" w:rsidRPr="00686464" w:rsidRDefault="00816E5C" w:rsidP="00182A46">
      <w:pPr>
        <w:spacing w:after="0"/>
        <w:jc w:val="both"/>
        <w:rPr>
          <w:rFonts w:ascii="Arial" w:hAnsi="Arial" w:cs="Arial"/>
          <w:sz w:val="18"/>
          <w:szCs w:val="18"/>
        </w:rPr>
      </w:pPr>
      <w:r w:rsidRPr="00686464">
        <w:rPr>
          <w:rFonts w:ascii="Arial" w:hAnsi="Arial" w:cs="Arial"/>
          <w:sz w:val="18"/>
          <w:szCs w:val="18"/>
        </w:rPr>
        <w:t>10) rozporządzenie Parlamentu Europejskiego i Rady (UE) 2024/1350 z 14 maja 2024 r. ustanawiające unijne ramy przesiedleń i przyjmowania ze względów humanitarnych;</w:t>
      </w:r>
    </w:p>
    <w:p w14:paraId="579BBC96" w14:textId="77777777" w:rsidR="00686464" w:rsidRPr="00686464" w:rsidRDefault="00686464" w:rsidP="00182A46">
      <w:pPr>
        <w:spacing w:after="0"/>
        <w:jc w:val="both"/>
        <w:rPr>
          <w:rFonts w:ascii="Arial" w:hAnsi="Arial" w:cs="Arial"/>
          <w:sz w:val="18"/>
          <w:szCs w:val="18"/>
        </w:rPr>
      </w:pPr>
    </w:p>
    <w:p w14:paraId="3C27AE06" w14:textId="27147A12" w:rsidR="00816E5C" w:rsidRPr="00686464" w:rsidRDefault="00C67503" w:rsidP="00182A46">
      <w:pPr>
        <w:spacing w:after="0"/>
        <w:jc w:val="both"/>
        <w:rPr>
          <w:rFonts w:ascii="Arial" w:eastAsia="Calibri" w:hAnsi="Arial" w:cs="Arial"/>
          <w:sz w:val="18"/>
          <w:szCs w:val="18"/>
        </w:rPr>
      </w:pPr>
      <w:r w:rsidRPr="00686464">
        <w:rPr>
          <w:rFonts w:ascii="Arial" w:hAnsi="Arial" w:cs="Arial"/>
          <w:sz w:val="18"/>
          <w:szCs w:val="18"/>
        </w:rPr>
        <w:t>V</w:t>
      </w:r>
      <w:r w:rsidR="00816E5C" w:rsidRPr="00686464">
        <w:rPr>
          <w:rFonts w:ascii="Arial" w:hAnsi="Arial" w:cs="Arial"/>
          <w:sz w:val="18"/>
          <w:szCs w:val="18"/>
        </w:rPr>
        <w:t xml:space="preserve">. Dokument </w:t>
      </w:r>
      <w:r w:rsidR="00816E5C" w:rsidRPr="00686464">
        <w:rPr>
          <w:rFonts w:ascii="Arial" w:hAnsi="Arial" w:cs="Arial"/>
          <w:i/>
          <w:iCs/>
          <w:sz w:val="18"/>
          <w:szCs w:val="18"/>
        </w:rPr>
        <w:t>„Odzyskać kontrolę. Zapewnić bezpieczeństwo. Kompleksowa i odpowiedzialna strategia migracyjna Polski na lata 2025–2030”.</w:t>
      </w:r>
      <w:r w:rsidR="00816E5C" w:rsidRPr="00686464">
        <w:rPr>
          <w:rFonts w:ascii="Arial" w:hAnsi="Arial" w:cs="Arial"/>
          <w:sz w:val="18"/>
          <w:szCs w:val="18"/>
        </w:rPr>
        <w:t xml:space="preserve"> </w:t>
      </w:r>
      <w:r w:rsidR="00816E5C" w:rsidRPr="00686464">
        <w:rPr>
          <w:rFonts w:ascii="Arial" w:hAnsi="Arial" w:cs="Arial"/>
          <w:i/>
          <w:iCs/>
          <w:sz w:val="18"/>
          <w:szCs w:val="18"/>
        </w:rPr>
        <w:t>KOMPLEKSOWA I ODPOWIEDZIALNA STRATEGIA MIGRACYJNA POLSKI NA LATA 2025–2030</w:t>
      </w:r>
      <w:r w:rsidR="00816E5C" w:rsidRPr="00686464">
        <w:rPr>
          <w:rFonts w:ascii="Arial" w:hAnsi="Arial" w:cs="Arial"/>
          <w:sz w:val="18"/>
          <w:szCs w:val="18"/>
        </w:rPr>
        <w:t xml:space="preserve"> (Załącznik do uchwały nr 120 Rady Ministrów z dnia 15 października 2024 r.)</w:t>
      </w:r>
      <w:r w:rsidRPr="00686464">
        <w:rPr>
          <w:rFonts w:ascii="Arial" w:hAnsi="Arial" w:cs="Arial"/>
          <w:sz w:val="18"/>
          <w:szCs w:val="18"/>
        </w:rPr>
        <w:t>.</w:t>
      </w:r>
      <w:r w:rsidR="00816E5C" w:rsidRPr="00686464">
        <w:rPr>
          <w:rFonts w:ascii="Arial" w:hAnsi="Arial" w:cs="Arial"/>
          <w:sz w:val="18"/>
          <w:szCs w:val="18"/>
        </w:rPr>
        <w:t xml:space="preserve"> </w:t>
      </w:r>
    </w:p>
    <w:p w14:paraId="594BECBB" w14:textId="77777777" w:rsidR="00816E5C" w:rsidRPr="00182A46" w:rsidRDefault="00816E5C" w:rsidP="00182A46">
      <w:pPr>
        <w:spacing w:after="0"/>
        <w:jc w:val="both"/>
        <w:rPr>
          <w:rFonts w:ascii="Arial" w:hAnsi="Arial" w:cs="Arial"/>
          <w:sz w:val="20"/>
          <w:szCs w:val="20"/>
        </w:rPr>
      </w:pPr>
    </w:p>
    <w:p w14:paraId="3BB63758" w14:textId="77777777" w:rsidR="00686464" w:rsidRDefault="00686464" w:rsidP="00182A46">
      <w:pPr>
        <w:spacing w:after="0"/>
        <w:rPr>
          <w:rFonts w:ascii="Arial" w:hAnsi="Arial" w:cs="Arial"/>
          <w:b/>
          <w:bCs/>
          <w:sz w:val="20"/>
          <w:szCs w:val="20"/>
        </w:rPr>
      </w:pPr>
    </w:p>
    <w:p w14:paraId="50C59687" w14:textId="0C9E9B3D" w:rsidR="00816E5C" w:rsidRDefault="00816E5C" w:rsidP="00182A46">
      <w:pPr>
        <w:spacing w:after="0"/>
        <w:rPr>
          <w:rFonts w:ascii="Arial" w:hAnsi="Arial" w:cs="Arial"/>
          <w:b/>
          <w:bCs/>
          <w:sz w:val="20"/>
          <w:szCs w:val="20"/>
        </w:rPr>
      </w:pPr>
      <w:r w:rsidRPr="00182A46">
        <w:rPr>
          <w:rFonts w:ascii="Arial" w:hAnsi="Arial" w:cs="Arial"/>
          <w:b/>
          <w:bCs/>
          <w:sz w:val="20"/>
          <w:szCs w:val="20"/>
        </w:rPr>
        <w:t>Subsumpcja</w:t>
      </w:r>
    </w:p>
    <w:p w14:paraId="44527779" w14:textId="77777777" w:rsidR="00686464" w:rsidRPr="00182A46" w:rsidRDefault="00686464" w:rsidP="00182A46">
      <w:pPr>
        <w:spacing w:after="0"/>
        <w:rPr>
          <w:rFonts w:ascii="Arial" w:hAnsi="Arial" w:cs="Arial"/>
          <w:b/>
          <w:bCs/>
          <w:sz w:val="20"/>
          <w:szCs w:val="20"/>
        </w:rPr>
      </w:pPr>
    </w:p>
    <w:p w14:paraId="472C95A7" w14:textId="77777777"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W pierwszej kolejności wskazać należy, że zarówno na gruncie prawa krajowego, jak i prawa Unii Europejskiej, pojęcie dyskryminacji posiada ściśle określone normatywne charakter i nie może być utożsamiane wyłącznie z wyrażeniem określonego poglądu, stanowiska politycznego lub opinii odnoszącej się do zjawisk społecznych czy migracyjnych.</w:t>
      </w:r>
    </w:p>
    <w:p w14:paraId="147614FE" w14:textId="77777777" w:rsidR="00816E5C" w:rsidRPr="00182A46" w:rsidRDefault="00816E5C" w:rsidP="00182A46">
      <w:pPr>
        <w:spacing w:after="0"/>
        <w:jc w:val="both"/>
        <w:rPr>
          <w:rFonts w:ascii="Arial" w:hAnsi="Arial" w:cs="Arial"/>
          <w:sz w:val="20"/>
          <w:szCs w:val="20"/>
        </w:rPr>
      </w:pPr>
    </w:p>
    <w:p w14:paraId="11100847" w14:textId="77777777" w:rsidR="00816E5C" w:rsidRPr="00182A46" w:rsidRDefault="00816E5C" w:rsidP="00182A46">
      <w:pPr>
        <w:spacing w:after="0"/>
        <w:jc w:val="both"/>
        <w:rPr>
          <w:rFonts w:ascii="Arial" w:hAnsi="Arial" w:cs="Arial"/>
          <w:b/>
          <w:bCs/>
          <w:sz w:val="20"/>
          <w:szCs w:val="20"/>
        </w:rPr>
      </w:pPr>
      <w:r w:rsidRPr="00182A46">
        <w:rPr>
          <w:rFonts w:ascii="Arial" w:hAnsi="Arial" w:cs="Arial"/>
          <w:sz w:val="20"/>
          <w:szCs w:val="20"/>
        </w:rPr>
        <w:t xml:space="preserve">Konstrukcja dyskryminacji (bezpośredniej albo pośredniej) </w:t>
      </w:r>
      <w:r w:rsidRPr="00182A46">
        <w:rPr>
          <w:rFonts w:ascii="Arial" w:hAnsi="Arial" w:cs="Arial"/>
          <w:b/>
          <w:bCs/>
          <w:sz w:val="20"/>
          <w:szCs w:val="20"/>
        </w:rPr>
        <w:t>wymaga ustalenia określonego skutku prawnego lub faktycznego, polegającego na mniej korzystnym traktowaniu poszczególnej osoby lub grupy osób posiadających cechę prawnie chronioną.</w:t>
      </w:r>
    </w:p>
    <w:p w14:paraId="2F1A4185" w14:textId="77777777" w:rsidR="00816E5C" w:rsidRPr="00182A46" w:rsidRDefault="00816E5C" w:rsidP="00182A46">
      <w:pPr>
        <w:spacing w:after="0"/>
        <w:jc w:val="both"/>
        <w:rPr>
          <w:rFonts w:ascii="Arial" w:hAnsi="Arial" w:cs="Arial"/>
          <w:sz w:val="20"/>
          <w:szCs w:val="20"/>
        </w:rPr>
      </w:pPr>
    </w:p>
    <w:p w14:paraId="1D5047DC" w14:textId="77777777"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 xml:space="preserve">Zgodnie z ustawową definicją dyskryminacji pośredniej – dochodzi do niej w sytuacji, w której pozornie neutralne postanowienie lub działania prowadzi albo mogłoby prowadzić do powstania niekorzystnych dysproporcji lub szczególnie niekorzystnej sytuacji wobec osoby posiadającej określoną cechę chronioną, chyba że działanie to pozostaje obiektywnie uzasadnione zgodnym z prawem celem, a zastosowane środki są właściwe i konieczne dla jego osiągnięcia. Z kolei dyskryminacja bezpośrednia występuje wówczas, gdy określona osoba, z uwagi na cechę prawnie chronioną, taką jak narodowość, pochodzenie etniczne, religia czy światopogląd, traktowana jest mniej korzystnie niż inna osoba znajdująca się w sytuacji porównywalnej. Konstrukcja ta opiera się zatem na konieczności wykazania konkretnego aktu nierównego traktowania oraz istnienia rzeczywistego lub hipotetycznego wzorca porównawczego. (m.in. wyrok TS z dnia 10 maja 2011 r. w sprawie </w:t>
      </w:r>
      <w:hyperlink r:id="rId8" w:anchor="/document/520880904" w:history="1">
        <w:r w:rsidRPr="00182A46">
          <w:rPr>
            <w:rStyle w:val="Hipercze"/>
            <w:rFonts w:ascii="Arial" w:hAnsi="Arial" w:cs="Arial"/>
            <w:sz w:val="20"/>
            <w:szCs w:val="20"/>
          </w:rPr>
          <w:t>C-147/08</w:t>
        </w:r>
      </w:hyperlink>
      <w:r w:rsidRPr="00182A46">
        <w:rPr>
          <w:rFonts w:ascii="Arial" w:hAnsi="Arial" w:cs="Arial"/>
          <w:sz w:val="20"/>
          <w:szCs w:val="20"/>
        </w:rPr>
        <w:t xml:space="preserve">, </w:t>
      </w:r>
      <w:proofErr w:type="spellStart"/>
      <w:r w:rsidRPr="00182A46">
        <w:rPr>
          <w:rFonts w:ascii="Arial" w:hAnsi="Arial" w:cs="Arial"/>
          <w:sz w:val="20"/>
          <w:szCs w:val="20"/>
        </w:rPr>
        <w:t>Jürgen</w:t>
      </w:r>
      <w:proofErr w:type="spellEnd"/>
      <w:r w:rsidRPr="00182A46">
        <w:rPr>
          <w:rFonts w:ascii="Arial" w:hAnsi="Arial" w:cs="Arial"/>
          <w:sz w:val="20"/>
          <w:szCs w:val="20"/>
        </w:rPr>
        <w:t xml:space="preserve"> </w:t>
      </w:r>
      <w:proofErr w:type="spellStart"/>
      <w:r w:rsidRPr="00182A46">
        <w:rPr>
          <w:rFonts w:ascii="Arial" w:hAnsi="Arial" w:cs="Arial"/>
          <w:sz w:val="20"/>
          <w:szCs w:val="20"/>
        </w:rPr>
        <w:t>Römer</w:t>
      </w:r>
      <w:proofErr w:type="spellEnd"/>
      <w:r w:rsidRPr="00182A46">
        <w:rPr>
          <w:rFonts w:ascii="Arial" w:hAnsi="Arial" w:cs="Arial"/>
          <w:sz w:val="20"/>
          <w:szCs w:val="20"/>
        </w:rPr>
        <w:t xml:space="preserve"> v. </w:t>
      </w:r>
      <w:proofErr w:type="spellStart"/>
      <w:r w:rsidRPr="00182A46">
        <w:rPr>
          <w:rFonts w:ascii="Arial" w:hAnsi="Arial" w:cs="Arial"/>
          <w:sz w:val="20"/>
          <w:szCs w:val="20"/>
        </w:rPr>
        <w:t>Freie</w:t>
      </w:r>
      <w:proofErr w:type="spellEnd"/>
      <w:r w:rsidRPr="00182A46">
        <w:rPr>
          <w:rFonts w:ascii="Arial" w:hAnsi="Arial" w:cs="Arial"/>
          <w:sz w:val="20"/>
          <w:szCs w:val="20"/>
        </w:rPr>
        <w:t xml:space="preserve"> </w:t>
      </w:r>
      <w:proofErr w:type="spellStart"/>
      <w:r w:rsidRPr="00182A46">
        <w:rPr>
          <w:rFonts w:ascii="Arial" w:hAnsi="Arial" w:cs="Arial"/>
          <w:sz w:val="20"/>
          <w:szCs w:val="20"/>
        </w:rPr>
        <w:t>und</w:t>
      </w:r>
      <w:proofErr w:type="spellEnd"/>
      <w:r w:rsidRPr="00182A46">
        <w:rPr>
          <w:rFonts w:ascii="Arial" w:hAnsi="Arial" w:cs="Arial"/>
          <w:sz w:val="20"/>
          <w:szCs w:val="20"/>
        </w:rPr>
        <w:t xml:space="preserve"> </w:t>
      </w:r>
      <w:proofErr w:type="spellStart"/>
      <w:r w:rsidRPr="00182A46">
        <w:rPr>
          <w:rFonts w:ascii="Arial" w:hAnsi="Arial" w:cs="Arial"/>
          <w:sz w:val="20"/>
          <w:szCs w:val="20"/>
        </w:rPr>
        <w:t>Hansestadt</w:t>
      </w:r>
      <w:proofErr w:type="spellEnd"/>
      <w:r w:rsidRPr="00182A46">
        <w:rPr>
          <w:rFonts w:ascii="Arial" w:hAnsi="Arial" w:cs="Arial"/>
          <w:sz w:val="20"/>
          <w:szCs w:val="20"/>
        </w:rPr>
        <w:t xml:space="preserve"> Hamburg, </w:t>
      </w:r>
      <w:r w:rsidRPr="00182A46">
        <w:rPr>
          <w:rFonts w:ascii="Arial" w:hAnsi="Arial" w:cs="Arial"/>
          <w:sz w:val="20"/>
          <w:szCs w:val="20"/>
        </w:rPr>
        <w:lastRenderedPageBreak/>
        <w:t xml:space="preserve">EU:C:2011:286, abstrakcyjne, wyrok TS z dnia 12 października 2004 r. w sprawie </w:t>
      </w:r>
      <w:hyperlink r:id="rId9" w:anchor="/document/520317463" w:history="1">
        <w:r w:rsidRPr="00182A46">
          <w:rPr>
            <w:rStyle w:val="Hipercze"/>
            <w:rFonts w:ascii="Arial" w:hAnsi="Arial" w:cs="Arial"/>
            <w:sz w:val="20"/>
            <w:szCs w:val="20"/>
          </w:rPr>
          <w:t>C-313/02</w:t>
        </w:r>
      </w:hyperlink>
      <w:r w:rsidRPr="00182A46">
        <w:rPr>
          <w:rFonts w:ascii="Arial" w:hAnsi="Arial" w:cs="Arial"/>
          <w:sz w:val="20"/>
          <w:szCs w:val="20"/>
        </w:rPr>
        <w:t xml:space="preserve">, Nicole </w:t>
      </w:r>
      <w:proofErr w:type="spellStart"/>
      <w:r w:rsidRPr="00182A46">
        <w:rPr>
          <w:rFonts w:ascii="Arial" w:hAnsi="Arial" w:cs="Arial"/>
          <w:sz w:val="20"/>
          <w:szCs w:val="20"/>
        </w:rPr>
        <w:t>Wippel</w:t>
      </w:r>
      <w:proofErr w:type="spellEnd"/>
      <w:r w:rsidRPr="00182A46">
        <w:rPr>
          <w:rFonts w:ascii="Arial" w:hAnsi="Arial" w:cs="Arial"/>
          <w:sz w:val="20"/>
          <w:szCs w:val="20"/>
        </w:rPr>
        <w:t xml:space="preserve"> v. </w:t>
      </w:r>
      <w:proofErr w:type="spellStart"/>
      <w:r w:rsidRPr="00182A46">
        <w:rPr>
          <w:rFonts w:ascii="Arial" w:hAnsi="Arial" w:cs="Arial"/>
          <w:sz w:val="20"/>
          <w:szCs w:val="20"/>
        </w:rPr>
        <w:t>Peek</w:t>
      </w:r>
      <w:proofErr w:type="spellEnd"/>
      <w:r w:rsidRPr="00182A46">
        <w:rPr>
          <w:rFonts w:ascii="Arial" w:hAnsi="Arial" w:cs="Arial"/>
          <w:sz w:val="20"/>
          <w:szCs w:val="20"/>
        </w:rPr>
        <w:t xml:space="preserve"> &amp; </w:t>
      </w:r>
      <w:proofErr w:type="spellStart"/>
      <w:r w:rsidRPr="00182A46">
        <w:rPr>
          <w:rFonts w:ascii="Arial" w:hAnsi="Arial" w:cs="Arial"/>
          <w:sz w:val="20"/>
          <w:szCs w:val="20"/>
        </w:rPr>
        <w:t>Cloppenburg</w:t>
      </w:r>
      <w:proofErr w:type="spellEnd"/>
      <w:r w:rsidRPr="00182A46">
        <w:rPr>
          <w:rFonts w:ascii="Arial" w:hAnsi="Arial" w:cs="Arial"/>
          <w:sz w:val="20"/>
          <w:szCs w:val="20"/>
        </w:rPr>
        <w:t xml:space="preserve"> GmbH &amp; Co. KG, EU:C:2004:607).</w:t>
      </w:r>
      <w:r w:rsidRPr="00182A46">
        <w:rPr>
          <w:rStyle w:val="Odwoanieprzypisudolnego"/>
          <w:rFonts w:ascii="Arial" w:hAnsi="Arial" w:cs="Arial"/>
          <w:sz w:val="20"/>
          <w:szCs w:val="20"/>
        </w:rPr>
        <w:footnoteReference w:id="1"/>
      </w:r>
      <w:r w:rsidRPr="00182A46">
        <w:rPr>
          <w:rFonts w:ascii="Arial" w:hAnsi="Arial" w:cs="Arial"/>
          <w:sz w:val="20"/>
          <w:szCs w:val="20"/>
        </w:rPr>
        <w:t xml:space="preserve"> </w:t>
      </w:r>
    </w:p>
    <w:p w14:paraId="2BE193C5" w14:textId="77777777" w:rsidR="00816E5C" w:rsidRPr="00182A46" w:rsidRDefault="00816E5C" w:rsidP="00182A46">
      <w:pPr>
        <w:spacing w:after="0"/>
        <w:jc w:val="both"/>
        <w:rPr>
          <w:rFonts w:ascii="Arial" w:hAnsi="Arial" w:cs="Arial"/>
          <w:sz w:val="20"/>
          <w:szCs w:val="20"/>
        </w:rPr>
      </w:pPr>
    </w:p>
    <w:p w14:paraId="07EEC609" w14:textId="77777777" w:rsidR="00816E5C" w:rsidRPr="00182A46" w:rsidRDefault="00816E5C" w:rsidP="00182A46">
      <w:pPr>
        <w:spacing w:after="0"/>
        <w:jc w:val="both"/>
        <w:rPr>
          <w:rFonts w:ascii="Arial" w:hAnsi="Arial" w:cs="Arial"/>
          <w:b/>
          <w:bCs/>
          <w:sz w:val="20"/>
          <w:szCs w:val="20"/>
        </w:rPr>
      </w:pPr>
      <w:r w:rsidRPr="00182A46">
        <w:rPr>
          <w:rFonts w:ascii="Arial" w:hAnsi="Arial" w:cs="Arial"/>
          <w:sz w:val="20"/>
          <w:szCs w:val="20"/>
        </w:rPr>
        <w:t xml:space="preserve">W orzecznictwie TSUE wielokrotnie podkreślano, że ocena występowania dyskryminacji </w:t>
      </w:r>
      <w:r w:rsidRPr="00182A46">
        <w:rPr>
          <w:rFonts w:ascii="Arial" w:hAnsi="Arial" w:cs="Arial"/>
          <w:sz w:val="20"/>
          <w:szCs w:val="20"/>
          <w:u w:val="single"/>
        </w:rPr>
        <w:t>wymaga analizy konkretnych skutków danego działania, a nie wyłącznie samej treści wypowiedzi lub deklaracji politycznej</w:t>
      </w:r>
      <w:r w:rsidRPr="00182A46">
        <w:rPr>
          <w:rFonts w:ascii="Arial" w:hAnsi="Arial" w:cs="Arial"/>
          <w:sz w:val="20"/>
          <w:szCs w:val="20"/>
        </w:rPr>
        <w:t xml:space="preserve">. W szczególności akcentuje się konieczność przeprowadzenia testu porównawczego pozwalającego ustalić czy określona osoba została potraktowana mniej korzystnie od innych podmiotów znajdujących się w sytuacji porównywalnej. Jednocześnie TSUE wskazuje, że porównywalność sytuacji nie oznacza ich pełnej identyczności, lecz </w:t>
      </w:r>
      <w:r w:rsidRPr="00182A46">
        <w:rPr>
          <w:rFonts w:ascii="Arial" w:hAnsi="Arial" w:cs="Arial"/>
          <w:b/>
          <w:bCs/>
          <w:sz w:val="20"/>
          <w:szCs w:val="20"/>
        </w:rPr>
        <w:t>wymaga istnienia istotnego podobieństwa ocenianego przez pryzmat konkretnego problemu prawnego.</w:t>
      </w:r>
    </w:p>
    <w:p w14:paraId="6E2FF619" w14:textId="77777777" w:rsidR="00816E5C" w:rsidRPr="00182A46" w:rsidRDefault="00816E5C" w:rsidP="00182A46">
      <w:pPr>
        <w:spacing w:after="0"/>
        <w:jc w:val="both"/>
        <w:rPr>
          <w:rFonts w:ascii="Arial" w:hAnsi="Arial" w:cs="Arial"/>
          <w:sz w:val="20"/>
          <w:szCs w:val="20"/>
        </w:rPr>
      </w:pPr>
    </w:p>
    <w:p w14:paraId="41010B14" w14:textId="1D38771A" w:rsidR="00816E5C" w:rsidRPr="00182A46" w:rsidRDefault="00816E5C" w:rsidP="00182A46">
      <w:pPr>
        <w:spacing w:after="0"/>
        <w:jc w:val="both"/>
        <w:rPr>
          <w:rFonts w:ascii="Arial" w:eastAsia="Times New Roman" w:hAnsi="Arial" w:cs="Arial"/>
          <w:sz w:val="20"/>
          <w:szCs w:val="20"/>
        </w:rPr>
      </w:pPr>
      <w:r w:rsidRPr="00182A46">
        <w:rPr>
          <w:rFonts w:ascii="Arial" w:eastAsia="Times New Roman" w:hAnsi="Arial" w:cs="Arial"/>
          <w:sz w:val="20"/>
          <w:szCs w:val="20"/>
        </w:rPr>
        <w:t xml:space="preserve">Definicja „dyskryminacji bezpośredniej” jak również „pośredniej” kładzie nacisk na traktowanie w rozumieniu wystąpienia </w:t>
      </w:r>
      <w:r w:rsidRPr="00182A46">
        <w:rPr>
          <w:rFonts w:ascii="Arial" w:eastAsia="Times New Roman" w:hAnsi="Arial" w:cs="Arial"/>
          <w:b/>
          <w:bCs/>
          <w:sz w:val="20"/>
          <w:szCs w:val="20"/>
        </w:rPr>
        <w:t>określonego skutku</w:t>
      </w:r>
      <w:r w:rsidR="00C67503" w:rsidRPr="00182A46">
        <w:rPr>
          <w:rFonts w:ascii="Arial" w:eastAsia="Times New Roman" w:hAnsi="Arial" w:cs="Arial"/>
          <w:b/>
          <w:bCs/>
          <w:sz w:val="20"/>
          <w:szCs w:val="20"/>
        </w:rPr>
        <w:t>, cyt.</w:t>
      </w:r>
      <w:r w:rsidRPr="00182A46">
        <w:rPr>
          <w:rFonts w:ascii="Arial" w:eastAsia="Times New Roman" w:hAnsi="Arial" w:cs="Arial"/>
          <w:sz w:val="20"/>
          <w:szCs w:val="20"/>
        </w:rPr>
        <w:t>:</w:t>
      </w:r>
    </w:p>
    <w:p w14:paraId="6012CA9E" w14:textId="77777777" w:rsidR="00816E5C" w:rsidRPr="00182A46" w:rsidRDefault="00816E5C" w:rsidP="00182A46">
      <w:pPr>
        <w:spacing w:after="0"/>
        <w:jc w:val="both"/>
        <w:rPr>
          <w:rFonts w:ascii="Arial" w:eastAsia="Times New Roman" w:hAnsi="Arial" w:cs="Arial"/>
          <w:sz w:val="20"/>
          <w:szCs w:val="20"/>
        </w:rPr>
      </w:pPr>
    </w:p>
    <w:p w14:paraId="4BF3ECC2" w14:textId="42DCE216" w:rsidR="00816E5C" w:rsidRPr="00182A46" w:rsidRDefault="00816E5C" w:rsidP="00182A46">
      <w:pPr>
        <w:spacing w:after="0"/>
        <w:jc w:val="both"/>
        <w:rPr>
          <w:rFonts w:ascii="Arial" w:eastAsia="Times New Roman" w:hAnsi="Arial" w:cs="Arial"/>
          <w:i/>
          <w:sz w:val="20"/>
          <w:szCs w:val="20"/>
        </w:rPr>
      </w:pPr>
      <w:r w:rsidRPr="00182A46">
        <w:rPr>
          <w:rFonts w:ascii="Arial" w:eastAsia="Times New Roman" w:hAnsi="Arial" w:cs="Arial"/>
          <w:i/>
          <w:sz w:val="20"/>
          <w:szCs w:val="20"/>
        </w:rPr>
        <w:t>„</w:t>
      </w:r>
      <w:r w:rsidR="00C67503" w:rsidRPr="00182A46">
        <w:rPr>
          <w:rFonts w:ascii="Arial" w:eastAsia="Times New Roman" w:hAnsi="Arial" w:cs="Arial"/>
          <w:i/>
          <w:sz w:val="20"/>
          <w:szCs w:val="20"/>
        </w:rPr>
        <w:t>r</w:t>
      </w:r>
      <w:r w:rsidRPr="00182A46">
        <w:rPr>
          <w:rFonts w:ascii="Arial" w:eastAsia="Times New Roman" w:hAnsi="Arial" w:cs="Arial"/>
          <w:i/>
          <w:sz w:val="20"/>
          <w:szCs w:val="20"/>
        </w:rPr>
        <w:t xml:space="preserve">ozumie się przez to sytuację, w której osoba fizyczna ze względu na płeć, rasę, pochodzenie etniczne, narodowość, religię, wyznanie, światopogląd, niepełnosprawność, wiek lub orientację seksualną </w:t>
      </w:r>
      <w:r w:rsidRPr="00182A46">
        <w:rPr>
          <w:rFonts w:ascii="Arial" w:eastAsia="Times New Roman" w:hAnsi="Arial" w:cs="Arial"/>
          <w:b/>
          <w:bCs/>
          <w:i/>
          <w:sz w:val="20"/>
          <w:szCs w:val="20"/>
          <w:u w:val="single"/>
        </w:rPr>
        <w:t xml:space="preserve">jest </w:t>
      </w:r>
      <w:r w:rsidRPr="00182A46">
        <w:rPr>
          <w:rFonts w:ascii="Arial" w:eastAsia="Times New Roman" w:hAnsi="Arial" w:cs="Arial"/>
          <w:b/>
          <w:bCs/>
          <w:i/>
          <w:iCs/>
          <w:sz w:val="20"/>
          <w:szCs w:val="20"/>
          <w:u w:val="single"/>
        </w:rPr>
        <w:t>traktowana</w:t>
      </w:r>
      <w:r w:rsidRPr="00182A46">
        <w:rPr>
          <w:rFonts w:ascii="Arial" w:eastAsia="Times New Roman" w:hAnsi="Arial" w:cs="Arial"/>
          <w:i/>
          <w:sz w:val="20"/>
          <w:szCs w:val="20"/>
        </w:rPr>
        <w:t xml:space="preserve"> mniej korzystnie niż jest, była lub byłaby </w:t>
      </w:r>
      <w:r w:rsidRPr="00182A46">
        <w:rPr>
          <w:rFonts w:ascii="Arial" w:eastAsia="Times New Roman" w:hAnsi="Arial" w:cs="Arial"/>
          <w:i/>
          <w:iCs/>
          <w:sz w:val="20"/>
          <w:szCs w:val="20"/>
        </w:rPr>
        <w:t>traktowana</w:t>
      </w:r>
      <w:r w:rsidRPr="00182A46">
        <w:rPr>
          <w:rFonts w:ascii="Arial" w:eastAsia="Times New Roman" w:hAnsi="Arial" w:cs="Arial"/>
          <w:i/>
          <w:sz w:val="20"/>
          <w:szCs w:val="20"/>
        </w:rPr>
        <w:t xml:space="preserve"> inna osoba w porównywalnej sytuacji”</w:t>
      </w:r>
      <w:r w:rsidR="00C67503" w:rsidRPr="00182A46">
        <w:rPr>
          <w:rFonts w:ascii="Arial" w:eastAsia="Times New Roman" w:hAnsi="Arial" w:cs="Arial"/>
          <w:i/>
          <w:sz w:val="20"/>
          <w:szCs w:val="20"/>
        </w:rPr>
        <w:t xml:space="preserve"> (…)</w:t>
      </w:r>
    </w:p>
    <w:p w14:paraId="67CEB4C0" w14:textId="77777777" w:rsidR="00816E5C" w:rsidRPr="00182A46" w:rsidRDefault="00816E5C" w:rsidP="00182A46">
      <w:pPr>
        <w:spacing w:after="0"/>
        <w:jc w:val="both"/>
        <w:rPr>
          <w:rFonts w:ascii="Arial" w:eastAsia="Times New Roman" w:hAnsi="Arial" w:cs="Arial"/>
          <w:i/>
          <w:sz w:val="20"/>
          <w:szCs w:val="20"/>
        </w:rPr>
      </w:pPr>
    </w:p>
    <w:p w14:paraId="7FF927A0" w14:textId="52E08443" w:rsidR="00816E5C" w:rsidRPr="00182A46" w:rsidRDefault="00816E5C" w:rsidP="00182A46">
      <w:pPr>
        <w:spacing w:after="0"/>
        <w:jc w:val="both"/>
        <w:rPr>
          <w:rFonts w:ascii="Arial" w:eastAsia="Times New Roman" w:hAnsi="Arial" w:cs="Arial"/>
          <w:i/>
          <w:sz w:val="20"/>
          <w:szCs w:val="20"/>
        </w:rPr>
      </w:pPr>
      <w:r w:rsidRPr="00182A46">
        <w:rPr>
          <w:rFonts w:ascii="Arial" w:eastAsia="Times New Roman" w:hAnsi="Arial" w:cs="Arial"/>
          <w:i/>
          <w:sz w:val="20"/>
          <w:szCs w:val="20"/>
        </w:rPr>
        <w:t xml:space="preserve">„rozumie się przez to </w:t>
      </w:r>
      <w:r w:rsidRPr="00182A46">
        <w:rPr>
          <w:rFonts w:ascii="Arial" w:eastAsia="Times New Roman" w:hAnsi="Arial" w:cs="Arial"/>
          <w:b/>
          <w:bCs/>
          <w:i/>
          <w:sz w:val="20"/>
          <w:szCs w:val="20"/>
          <w:u w:val="single"/>
        </w:rPr>
        <w:t>sytuację</w:t>
      </w:r>
      <w:r w:rsidRPr="00182A46">
        <w:rPr>
          <w:rFonts w:ascii="Arial" w:eastAsia="Times New Roman" w:hAnsi="Arial" w:cs="Arial"/>
          <w:i/>
          <w:sz w:val="20"/>
          <w:szCs w:val="20"/>
        </w:rPr>
        <w:t xml:space="preserve">, </w:t>
      </w:r>
      <w:r w:rsidRPr="00182A46">
        <w:rPr>
          <w:rFonts w:ascii="Arial" w:eastAsia="Times New Roman" w:hAnsi="Arial" w:cs="Arial"/>
          <w:b/>
          <w:bCs/>
          <w:i/>
          <w:sz w:val="20"/>
          <w:szCs w:val="20"/>
          <w:u w:val="single"/>
        </w:rPr>
        <w:t>w której</w:t>
      </w:r>
      <w:r w:rsidRPr="00182A46">
        <w:rPr>
          <w:rFonts w:ascii="Arial" w:eastAsia="Times New Roman" w:hAnsi="Arial" w:cs="Arial"/>
          <w:i/>
          <w:sz w:val="20"/>
          <w:szCs w:val="20"/>
        </w:rPr>
        <w:t xml:space="preserve"> dla osoby fizycznej ze względu na płeć, rasę, pochodzenie etniczne, narodowość, religię, wyznanie, światopogląd, niepełnosprawność, wiek lub orientację seksualną na skutek pozornie neutralnego postanowienia, zastosowanego kryterium lub podjętego działania </w:t>
      </w:r>
      <w:r w:rsidRPr="00182A46">
        <w:rPr>
          <w:rFonts w:ascii="Arial" w:eastAsia="Times New Roman" w:hAnsi="Arial" w:cs="Arial"/>
          <w:b/>
          <w:bCs/>
          <w:i/>
          <w:sz w:val="20"/>
          <w:szCs w:val="20"/>
          <w:u w:val="single"/>
        </w:rPr>
        <w:t>występują lub mogłyby wystąpić niekorzystne dysproporcje lub szczególnie niekorzystna dla niej sytuacja</w:t>
      </w:r>
      <w:r w:rsidRPr="00182A46">
        <w:rPr>
          <w:rFonts w:ascii="Arial" w:eastAsia="Times New Roman" w:hAnsi="Arial" w:cs="Arial"/>
          <w:i/>
          <w:sz w:val="20"/>
          <w:szCs w:val="20"/>
        </w:rPr>
        <w:t>, chyba że postanowienie, kryterium lub działanie jest obiektywnie uzasadnione ze względu na zgodny z prawem cel, który ma być osiągnięty, a środki służące osiągnięciu tego celu są właściwe i konieczne”</w:t>
      </w:r>
      <w:r w:rsidR="00C67503" w:rsidRPr="00182A46">
        <w:rPr>
          <w:rFonts w:ascii="Arial" w:eastAsia="Times New Roman" w:hAnsi="Arial" w:cs="Arial"/>
          <w:i/>
          <w:sz w:val="20"/>
          <w:szCs w:val="20"/>
        </w:rPr>
        <w:t>.</w:t>
      </w:r>
    </w:p>
    <w:p w14:paraId="14722B53" w14:textId="77777777" w:rsidR="00816E5C" w:rsidRPr="00182A46" w:rsidRDefault="00816E5C" w:rsidP="00182A46">
      <w:pPr>
        <w:spacing w:after="0"/>
        <w:jc w:val="both"/>
        <w:rPr>
          <w:rFonts w:ascii="Arial" w:eastAsia="Times New Roman" w:hAnsi="Arial" w:cs="Arial"/>
          <w:i/>
          <w:sz w:val="20"/>
          <w:szCs w:val="20"/>
        </w:rPr>
      </w:pPr>
    </w:p>
    <w:p w14:paraId="7AF4CEEA" w14:textId="6DE0C493" w:rsidR="00816E5C" w:rsidRPr="00182A46" w:rsidRDefault="00816E5C" w:rsidP="00182A46">
      <w:pPr>
        <w:spacing w:after="0"/>
        <w:jc w:val="both"/>
        <w:rPr>
          <w:rFonts w:ascii="Arial" w:hAnsi="Arial" w:cs="Arial"/>
          <w:sz w:val="20"/>
          <w:szCs w:val="20"/>
          <w:u w:val="single"/>
        </w:rPr>
      </w:pPr>
      <w:r w:rsidRPr="00182A46">
        <w:rPr>
          <w:rFonts w:ascii="Arial" w:hAnsi="Arial" w:cs="Arial"/>
          <w:sz w:val="20"/>
          <w:szCs w:val="20"/>
        </w:rPr>
        <w:t xml:space="preserve">W odniesieniu do dyskryminacji bezpośredniej, nawiązując do powyższego, znaczenie ma analiza skutków określonego działania lub regulacji dla sytuacji danej grupy społecznej. Mowa tutaj o przypadkach dyskryminacji strukturalnej lub systemowej, w których formalnie neutralne rozwiązania prowadzą w praktyce do powstania trwałych lub istotnych nierówności. </w:t>
      </w:r>
      <w:r w:rsidRPr="00182A46">
        <w:rPr>
          <w:rFonts w:ascii="Arial" w:hAnsi="Arial" w:cs="Arial"/>
          <w:sz w:val="20"/>
          <w:szCs w:val="20"/>
          <w:u w:val="single"/>
        </w:rPr>
        <w:t>Na tle powyższych uwag wskazać należy, że sama uchwała wyrażają</w:t>
      </w:r>
      <w:r w:rsidR="00C67503" w:rsidRPr="00182A46">
        <w:rPr>
          <w:rFonts w:ascii="Arial" w:hAnsi="Arial" w:cs="Arial"/>
          <w:sz w:val="20"/>
          <w:szCs w:val="20"/>
          <w:u w:val="single"/>
        </w:rPr>
        <w:t>ca</w:t>
      </w:r>
      <w:r w:rsidRPr="00182A46">
        <w:rPr>
          <w:rFonts w:ascii="Arial" w:hAnsi="Arial" w:cs="Arial"/>
          <w:sz w:val="20"/>
          <w:szCs w:val="20"/>
          <w:u w:val="single"/>
        </w:rPr>
        <w:t xml:space="preserve"> sprzeciw wobec relokacji nielegalnych migrantów nie wywołuje bezpośrednio skutków prawnych w zakresie prawa pobytu, prawa do azylu ani statusu cudzoziemców przebywających na terytorium RP. Uchwała ta ma charakter stanowiska politycznego i deklaratywnego, nie stanowiąc aktu zdolnego do samodzielnego ograniczenia praw wynikających z prawa krajowego lub prawa UE. </w:t>
      </w:r>
    </w:p>
    <w:p w14:paraId="1CB2D6F4" w14:textId="77777777" w:rsidR="00816E5C" w:rsidRPr="00182A46" w:rsidRDefault="00816E5C" w:rsidP="00182A46">
      <w:pPr>
        <w:spacing w:after="0"/>
        <w:jc w:val="both"/>
        <w:rPr>
          <w:rFonts w:ascii="Arial" w:hAnsi="Arial" w:cs="Arial"/>
          <w:sz w:val="20"/>
          <w:szCs w:val="20"/>
        </w:rPr>
      </w:pPr>
    </w:p>
    <w:p w14:paraId="13ED1081" w14:textId="77777777" w:rsidR="00816E5C" w:rsidRPr="00182A46" w:rsidRDefault="00816E5C" w:rsidP="00182A46">
      <w:pPr>
        <w:spacing w:after="0"/>
        <w:jc w:val="both"/>
        <w:rPr>
          <w:rFonts w:ascii="Arial" w:eastAsia="Times New Roman" w:hAnsi="Arial" w:cs="Arial"/>
          <w:i/>
          <w:sz w:val="20"/>
          <w:szCs w:val="20"/>
        </w:rPr>
      </w:pPr>
      <w:r w:rsidRPr="00182A46">
        <w:rPr>
          <w:rFonts w:ascii="Arial" w:hAnsi="Arial" w:cs="Arial"/>
          <w:b/>
          <w:bCs/>
          <w:sz w:val="20"/>
          <w:szCs w:val="20"/>
          <w:u w:val="single"/>
        </w:rPr>
        <w:t>Brak jest podstaw do przyjęcia, że sama treść uchwały prowadzi do wystąpienia skutku charakterystycznego dla dyskryminacji bezpośredniej lub pośredniej</w:t>
      </w:r>
      <w:r w:rsidRPr="00182A46">
        <w:rPr>
          <w:rFonts w:ascii="Arial" w:hAnsi="Arial" w:cs="Arial"/>
          <w:sz w:val="20"/>
          <w:szCs w:val="20"/>
        </w:rPr>
        <w:t>. Nie dochodzi bowiem do wydania aktu odmownego wobec konkretnej osoby, ograniczenia dostępu do świadczeń, odmowy legalizacji pobytu ani stosowania innych instrumentów skutkujących nierównym traktowaniem cudzoziemców.</w:t>
      </w:r>
      <w:r w:rsidRPr="00182A46">
        <w:rPr>
          <w:rFonts w:ascii="Arial" w:eastAsia="Times New Roman" w:hAnsi="Arial" w:cs="Arial"/>
          <w:sz w:val="20"/>
          <w:szCs w:val="20"/>
        </w:rPr>
        <w:t xml:space="preserve"> </w:t>
      </w:r>
    </w:p>
    <w:p w14:paraId="089EF1BE" w14:textId="77777777" w:rsidR="00816E5C" w:rsidRPr="00182A46" w:rsidRDefault="00816E5C" w:rsidP="00182A46">
      <w:pPr>
        <w:spacing w:after="0"/>
        <w:jc w:val="both"/>
        <w:rPr>
          <w:rFonts w:ascii="Arial" w:hAnsi="Arial" w:cs="Arial"/>
          <w:sz w:val="20"/>
          <w:szCs w:val="20"/>
        </w:rPr>
      </w:pPr>
    </w:p>
    <w:p w14:paraId="54ACC76F" w14:textId="3B18FB2B"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Podkreślić należy, że w ramach tzw. „</w:t>
      </w:r>
      <w:r w:rsidRPr="00182A46">
        <w:rPr>
          <w:rFonts w:ascii="Arial" w:hAnsi="Arial" w:cs="Arial"/>
          <w:i/>
          <w:iCs/>
          <w:sz w:val="20"/>
          <w:szCs w:val="20"/>
        </w:rPr>
        <w:t>paktu migracyjnego</w:t>
      </w:r>
      <w:r w:rsidRPr="00182A46">
        <w:rPr>
          <w:rFonts w:ascii="Arial" w:hAnsi="Arial" w:cs="Arial"/>
          <w:sz w:val="20"/>
          <w:szCs w:val="20"/>
        </w:rPr>
        <w:t>” państwa członkowskie mają do wyboru trzy rodzaje tzw. „środków solidarnościowych”, czyli form pomocy, jakie powinny zaoferować państwom znajdującym się w trudnej sytuacji migracyjnej (art. 56 Rozporządzenia o zarządzaniu azylem i migracją)</w:t>
      </w:r>
      <w:r w:rsidR="00C67503" w:rsidRPr="00182A46">
        <w:rPr>
          <w:rFonts w:ascii="Arial" w:hAnsi="Arial" w:cs="Arial"/>
          <w:sz w:val="20"/>
          <w:szCs w:val="20"/>
        </w:rPr>
        <w:t>, cyt.</w:t>
      </w:r>
      <w:r w:rsidRPr="00182A46">
        <w:rPr>
          <w:rFonts w:ascii="Arial" w:hAnsi="Arial" w:cs="Arial"/>
          <w:sz w:val="20"/>
          <w:szCs w:val="20"/>
        </w:rPr>
        <w:t>:</w:t>
      </w:r>
    </w:p>
    <w:p w14:paraId="56C6A8AC" w14:textId="77777777" w:rsidR="00C67503" w:rsidRPr="00182A46" w:rsidRDefault="00C67503" w:rsidP="00182A46">
      <w:pPr>
        <w:spacing w:after="0"/>
        <w:jc w:val="both"/>
        <w:rPr>
          <w:rFonts w:ascii="Arial" w:hAnsi="Arial" w:cs="Arial"/>
          <w:sz w:val="20"/>
          <w:szCs w:val="20"/>
        </w:rPr>
      </w:pPr>
    </w:p>
    <w:p w14:paraId="5C0EA209" w14:textId="1E41C4E0" w:rsidR="00816E5C" w:rsidRPr="00182A46" w:rsidRDefault="00C67503" w:rsidP="00182A46">
      <w:pPr>
        <w:spacing w:after="0"/>
        <w:jc w:val="both"/>
        <w:rPr>
          <w:rFonts w:ascii="Arial" w:hAnsi="Arial" w:cs="Arial"/>
          <w:sz w:val="20"/>
          <w:szCs w:val="20"/>
        </w:rPr>
      </w:pPr>
      <w:r w:rsidRPr="00182A46">
        <w:rPr>
          <w:rFonts w:ascii="Arial" w:hAnsi="Arial" w:cs="Arial"/>
          <w:sz w:val="20"/>
          <w:szCs w:val="20"/>
        </w:rPr>
        <w:t xml:space="preserve">„1) </w:t>
      </w:r>
      <w:r w:rsidR="00816E5C" w:rsidRPr="00182A46">
        <w:rPr>
          <w:rFonts w:ascii="Arial" w:hAnsi="Arial" w:cs="Arial"/>
          <w:sz w:val="20"/>
          <w:szCs w:val="20"/>
        </w:rPr>
        <w:t xml:space="preserve">relokacja imigrantów z państwa najbardziej obciążonego liczbą uchodźców i liczbą wpływających wniosków azylowych do państw mniej obciążonych pod tym względem. </w:t>
      </w:r>
    </w:p>
    <w:p w14:paraId="386B20D1" w14:textId="77777777" w:rsidR="00816E5C" w:rsidRPr="00182A46" w:rsidRDefault="00816E5C" w:rsidP="00182A46">
      <w:pPr>
        <w:pStyle w:val="Akapitzlist"/>
        <w:spacing w:after="0"/>
        <w:jc w:val="both"/>
        <w:rPr>
          <w:rFonts w:ascii="Arial" w:hAnsi="Arial" w:cs="Arial"/>
          <w:sz w:val="20"/>
          <w:szCs w:val="20"/>
        </w:rPr>
      </w:pPr>
    </w:p>
    <w:p w14:paraId="00D6BAD6" w14:textId="77777777"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 xml:space="preserve">2) pomoc finansowa ukierunkowana głównie na projekty związane z dziedziną migracji, zarządzania granicami i azylu lub na projekty w państwach trzecich, które to projekty mogą mieć bezpośredni wpływ na przepływy na granicach zewnętrznych lub mogą usprawnić systemy azylu, przyjmowania i migracji w danym państwie trzecim, w tym programy na rzecz wspomaganego dobrowolnego powrotu i środków reintegracyjnych oraz na rzecz zwalczania handlu ludźmi lub przemytu ludzi. </w:t>
      </w:r>
    </w:p>
    <w:p w14:paraId="48CA4D1A" w14:textId="77777777" w:rsidR="00816E5C" w:rsidRPr="00182A46" w:rsidRDefault="00816E5C" w:rsidP="00182A46">
      <w:pPr>
        <w:spacing w:after="0"/>
        <w:jc w:val="both"/>
        <w:rPr>
          <w:rFonts w:ascii="Arial" w:hAnsi="Arial" w:cs="Arial"/>
          <w:sz w:val="20"/>
          <w:szCs w:val="20"/>
        </w:rPr>
      </w:pPr>
    </w:p>
    <w:p w14:paraId="13FCC27B" w14:textId="41F2BA7A"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3) pomoc operacyjna obejmująca alternatywne środki mające na celu zwiększenie zdolności państw członkowskich w obszarze azylu, przyjmowania i powrotów oraz w wymiarze zewnętrznym</w:t>
      </w:r>
      <w:r w:rsidR="00C67503" w:rsidRPr="00182A46">
        <w:rPr>
          <w:rFonts w:ascii="Arial" w:hAnsi="Arial" w:cs="Arial"/>
          <w:sz w:val="20"/>
          <w:szCs w:val="20"/>
        </w:rPr>
        <w:t>”</w:t>
      </w:r>
      <w:r w:rsidRPr="00182A46">
        <w:rPr>
          <w:rFonts w:ascii="Arial" w:hAnsi="Arial" w:cs="Arial"/>
          <w:sz w:val="20"/>
          <w:szCs w:val="20"/>
        </w:rPr>
        <w:t>.</w:t>
      </w:r>
    </w:p>
    <w:p w14:paraId="62BD9411" w14:textId="77777777" w:rsidR="00816E5C" w:rsidRPr="00182A46" w:rsidRDefault="00816E5C" w:rsidP="00182A46">
      <w:pPr>
        <w:spacing w:after="0"/>
        <w:jc w:val="both"/>
        <w:rPr>
          <w:rFonts w:ascii="Arial" w:hAnsi="Arial" w:cs="Arial"/>
          <w:sz w:val="20"/>
          <w:szCs w:val="20"/>
        </w:rPr>
      </w:pPr>
    </w:p>
    <w:p w14:paraId="4F6963B1" w14:textId="77777777" w:rsidR="00686464" w:rsidRDefault="00686464" w:rsidP="00182A46">
      <w:pPr>
        <w:spacing w:after="0"/>
        <w:jc w:val="both"/>
        <w:rPr>
          <w:rFonts w:ascii="Arial" w:hAnsi="Arial" w:cs="Arial"/>
          <w:sz w:val="20"/>
          <w:szCs w:val="20"/>
        </w:rPr>
      </w:pPr>
    </w:p>
    <w:p w14:paraId="1DE63089" w14:textId="16B596DD"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 xml:space="preserve">Wskazać należy, że Strategia migracyjna (dok. </w:t>
      </w:r>
      <w:r w:rsidRPr="00182A46">
        <w:rPr>
          <w:rFonts w:ascii="Arial" w:hAnsi="Arial" w:cs="Arial"/>
          <w:i/>
          <w:iCs/>
          <w:sz w:val="20"/>
          <w:szCs w:val="20"/>
        </w:rPr>
        <w:t xml:space="preserve">„Odzyskać kontrolę. Zapewnić bezpieczeństwo. Kompleksowa i odpowiedzialna strategia migracyjna Polski na lata 2025–2030”) </w:t>
      </w:r>
      <w:r w:rsidRPr="00182A46">
        <w:rPr>
          <w:rFonts w:ascii="Arial" w:hAnsi="Arial" w:cs="Arial"/>
          <w:sz w:val="20"/>
          <w:szCs w:val="20"/>
        </w:rPr>
        <w:t xml:space="preserve">zakłada m.in. </w:t>
      </w:r>
      <w:r w:rsidRPr="00182A46">
        <w:rPr>
          <w:rFonts w:ascii="Arial" w:hAnsi="Arial" w:cs="Arial"/>
          <w:b/>
          <w:bCs/>
          <w:sz w:val="20"/>
          <w:szCs w:val="20"/>
        </w:rPr>
        <w:t>utworzenie 49 Centrów Integracji Cudzoziemców</w:t>
      </w:r>
      <w:r w:rsidRPr="00182A46">
        <w:rPr>
          <w:rFonts w:ascii="Arial" w:hAnsi="Arial" w:cs="Arial"/>
          <w:sz w:val="20"/>
          <w:szCs w:val="20"/>
        </w:rPr>
        <w:t>, w różnych regionach Polski, które mają być jednym z instrumentów integracji imigrantów w polskim społeczeństwie.</w:t>
      </w:r>
    </w:p>
    <w:p w14:paraId="22E0C1E0" w14:textId="77777777" w:rsidR="00816E5C" w:rsidRPr="00182A46" w:rsidRDefault="00816E5C" w:rsidP="00182A46">
      <w:pPr>
        <w:spacing w:after="0"/>
        <w:jc w:val="both"/>
        <w:rPr>
          <w:rFonts w:ascii="Arial" w:hAnsi="Arial" w:cs="Arial"/>
          <w:sz w:val="20"/>
          <w:szCs w:val="20"/>
        </w:rPr>
      </w:pPr>
    </w:p>
    <w:p w14:paraId="237A7A81" w14:textId="24DDFE5B" w:rsidR="00816E5C" w:rsidRPr="00182A46" w:rsidRDefault="00816E5C" w:rsidP="00182A46">
      <w:pPr>
        <w:spacing w:after="0"/>
        <w:jc w:val="both"/>
        <w:rPr>
          <w:rFonts w:ascii="Arial" w:hAnsi="Arial" w:cs="Arial"/>
          <w:b/>
          <w:bCs/>
          <w:sz w:val="20"/>
          <w:szCs w:val="20"/>
        </w:rPr>
      </w:pPr>
      <w:r w:rsidRPr="00182A46">
        <w:rPr>
          <w:rFonts w:ascii="Arial" w:hAnsi="Arial" w:cs="Arial"/>
          <w:sz w:val="20"/>
          <w:szCs w:val="20"/>
        </w:rPr>
        <w:t>Przechodząc na grunt zbadania czy</w:t>
      </w:r>
      <w:r w:rsidR="00C67503" w:rsidRPr="00182A46">
        <w:rPr>
          <w:rFonts w:ascii="Arial" w:hAnsi="Arial" w:cs="Arial"/>
          <w:sz w:val="20"/>
          <w:szCs w:val="20"/>
        </w:rPr>
        <w:t xml:space="preserve"> </w:t>
      </w:r>
      <w:r w:rsidRPr="00182A46">
        <w:rPr>
          <w:rFonts w:ascii="Arial" w:hAnsi="Arial" w:cs="Arial"/>
          <w:sz w:val="20"/>
          <w:szCs w:val="20"/>
        </w:rPr>
        <w:t>uchwała zawierająca wyrażenie sprzeciwu wobec „</w:t>
      </w:r>
      <w:r w:rsidRPr="00182A46">
        <w:rPr>
          <w:rFonts w:ascii="Arial" w:hAnsi="Arial" w:cs="Arial"/>
          <w:i/>
          <w:iCs/>
          <w:sz w:val="20"/>
          <w:szCs w:val="20"/>
        </w:rPr>
        <w:t>relokacji nielegalnych emigrantów</w:t>
      </w:r>
      <w:r w:rsidRPr="00182A46">
        <w:rPr>
          <w:rFonts w:ascii="Arial" w:hAnsi="Arial" w:cs="Arial"/>
          <w:sz w:val="20"/>
          <w:szCs w:val="20"/>
        </w:rPr>
        <w:t xml:space="preserve">” na terenie </w:t>
      </w:r>
      <w:r w:rsidR="00C67503" w:rsidRPr="00182A46">
        <w:rPr>
          <w:rFonts w:ascii="Arial" w:hAnsi="Arial" w:cs="Arial"/>
          <w:sz w:val="20"/>
          <w:szCs w:val="20"/>
        </w:rPr>
        <w:t>konkretnej jednostki samorządu terytorialnego</w:t>
      </w:r>
      <w:r w:rsidRPr="00182A46">
        <w:rPr>
          <w:rFonts w:ascii="Arial" w:hAnsi="Arial" w:cs="Arial"/>
          <w:sz w:val="20"/>
          <w:szCs w:val="20"/>
        </w:rPr>
        <w:t xml:space="preserve"> wskazuję, że </w:t>
      </w:r>
      <w:r w:rsidRPr="00182A46">
        <w:rPr>
          <w:rFonts w:ascii="Arial" w:eastAsia="Times New Roman" w:hAnsi="Arial" w:cs="Arial"/>
          <w:sz w:val="20"/>
          <w:szCs w:val="20"/>
        </w:rPr>
        <w:t xml:space="preserve">w </w:t>
      </w:r>
      <w:r w:rsidR="00C67503" w:rsidRPr="00182A46">
        <w:rPr>
          <w:rFonts w:ascii="Arial" w:eastAsia="Times New Roman" w:hAnsi="Arial" w:cs="Arial"/>
          <w:sz w:val="20"/>
          <w:szCs w:val="20"/>
        </w:rPr>
        <w:t>naszej</w:t>
      </w:r>
      <w:r w:rsidRPr="00182A46">
        <w:rPr>
          <w:rFonts w:ascii="Arial" w:eastAsia="Times New Roman" w:hAnsi="Arial" w:cs="Arial"/>
          <w:sz w:val="20"/>
          <w:szCs w:val="20"/>
        </w:rPr>
        <w:t xml:space="preserve"> ocenie przedmiotowa uchwała </w:t>
      </w:r>
      <w:r w:rsidRPr="00182A46">
        <w:rPr>
          <w:rFonts w:ascii="Arial" w:eastAsia="Times New Roman" w:hAnsi="Arial" w:cs="Arial"/>
          <w:b/>
          <w:bCs/>
          <w:sz w:val="20"/>
          <w:szCs w:val="20"/>
        </w:rPr>
        <w:t>nie zawiera zapisów stanowiących dyskryminację bezpośrednią, jak również pośrednią.</w:t>
      </w:r>
    </w:p>
    <w:p w14:paraId="2CBA6F52" w14:textId="77777777" w:rsidR="00816E5C" w:rsidRPr="00182A46" w:rsidRDefault="00816E5C" w:rsidP="00182A46">
      <w:pPr>
        <w:spacing w:after="0"/>
        <w:jc w:val="both"/>
        <w:rPr>
          <w:rFonts w:ascii="Arial" w:hAnsi="Arial" w:cs="Arial"/>
          <w:sz w:val="20"/>
          <w:szCs w:val="20"/>
        </w:rPr>
      </w:pPr>
    </w:p>
    <w:p w14:paraId="074D6912" w14:textId="77777777"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Niezależnie od powyższego, podkreślenia wymaga, że zgodnie z art. 4 ustawy o samorządzie powiatowym do zadań powiatu należy wykonywania zadań publicznych obejmujących m.in. kwestia porządku publicznego oraz bezpieczeństwa obywateli. W tym zakresie organy jednostki samorządu terytorialnego posiadają kompetencję do zajmowania stanowiska w sprawach dot. bezpieczeństwa lokalnej wspólnoty samorządowej, w tym również do wyrażania obaw związanych z potencjalnymi skutkami określonych zjawisko społecznych lub migracyjnych.</w:t>
      </w:r>
    </w:p>
    <w:p w14:paraId="3FC48792" w14:textId="77777777" w:rsidR="00816E5C" w:rsidRPr="00182A46" w:rsidRDefault="00816E5C" w:rsidP="00182A46">
      <w:pPr>
        <w:spacing w:after="0"/>
        <w:jc w:val="both"/>
        <w:rPr>
          <w:rFonts w:ascii="Arial" w:hAnsi="Arial" w:cs="Arial"/>
          <w:sz w:val="20"/>
          <w:szCs w:val="20"/>
        </w:rPr>
      </w:pPr>
    </w:p>
    <w:p w14:paraId="7191B012" w14:textId="77777777"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 xml:space="preserve">Istotne znaczenie ma również ocena okoliczności dot. debaty politycznej, w kontekście polityki migracyjnej oraz skutków relokacji migrantów, stanowiącej przedmiot szerokiej dyskusji publicznej prowadzonej na wielu poziomach – krajowym oraz unijnym. </w:t>
      </w:r>
      <w:r w:rsidRPr="00182A46">
        <w:rPr>
          <w:rFonts w:ascii="Arial" w:hAnsi="Arial" w:cs="Arial"/>
          <w:b/>
          <w:bCs/>
          <w:sz w:val="20"/>
          <w:szCs w:val="20"/>
        </w:rPr>
        <w:t>Sam fakt wyrażenia obaw dot. bezpieczeństwa publicznego, skuteczności polityki migracyjnej lub zdolności integracyjnych Państwa nie może być automatycznie utożsamiany z naruszeniem zasady niedyskryminacji.</w:t>
      </w:r>
      <w:r w:rsidRPr="00182A46">
        <w:rPr>
          <w:rFonts w:ascii="Arial" w:hAnsi="Arial" w:cs="Arial"/>
          <w:sz w:val="20"/>
          <w:szCs w:val="20"/>
        </w:rPr>
        <w:t xml:space="preserve"> </w:t>
      </w:r>
    </w:p>
    <w:p w14:paraId="7D1CA00A" w14:textId="77777777" w:rsidR="00816E5C" w:rsidRPr="00182A46" w:rsidRDefault="00816E5C" w:rsidP="00182A46">
      <w:pPr>
        <w:spacing w:after="0"/>
        <w:jc w:val="both"/>
        <w:rPr>
          <w:rFonts w:ascii="Arial" w:hAnsi="Arial" w:cs="Arial"/>
          <w:sz w:val="20"/>
          <w:szCs w:val="20"/>
        </w:rPr>
      </w:pPr>
    </w:p>
    <w:p w14:paraId="4E34A96D" w14:textId="088BEB1E"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 xml:space="preserve">Ważnym w kontekście opinii jest </w:t>
      </w:r>
      <w:r w:rsidR="00C67503" w:rsidRPr="00182A46">
        <w:rPr>
          <w:rFonts w:ascii="Arial" w:hAnsi="Arial" w:cs="Arial"/>
          <w:sz w:val="20"/>
          <w:szCs w:val="20"/>
        </w:rPr>
        <w:t xml:space="preserve">również </w:t>
      </w:r>
      <w:r w:rsidRPr="00182A46">
        <w:rPr>
          <w:rFonts w:ascii="Arial" w:hAnsi="Arial" w:cs="Arial"/>
          <w:sz w:val="20"/>
          <w:szCs w:val="20"/>
        </w:rPr>
        <w:t>art. 54 Konstytucji RP oraz art. 10 Europejskiej Konwencji Praw Człowieka, które zapewniają swobodę formułowania opinii oraz uczestniczenia w debacie publicznej. Ochrona ta obejmuje również wypowiedzi krytyczne, kontrowersyjne lub nieakceptowane przez część opinii publicznej, o ile nie przybierają one postaci mowy nienawiści, nawoływania do przemocy lub bezpośredniej dyskryminacji określonych grup osób, odpowiednio, cyt.:</w:t>
      </w:r>
    </w:p>
    <w:p w14:paraId="555495EF" w14:textId="77777777" w:rsidR="00816E5C" w:rsidRPr="00182A46" w:rsidRDefault="00816E5C" w:rsidP="00182A46">
      <w:pPr>
        <w:spacing w:after="0"/>
        <w:jc w:val="both"/>
        <w:rPr>
          <w:rFonts w:ascii="Arial" w:hAnsi="Arial" w:cs="Arial"/>
          <w:sz w:val="20"/>
          <w:szCs w:val="20"/>
        </w:rPr>
      </w:pPr>
    </w:p>
    <w:p w14:paraId="2908DBC6" w14:textId="77777777" w:rsidR="00816E5C" w:rsidRDefault="00816E5C" w:rsidP="00686464">
      <w:pPr>
        <w:spacing w:after="0"/>
        <w:ind w:firstLine="142"/>
        <w:jc w:val="both"/>
        <w:rPr>
          <w:rFonts w:ascii="Arial" w:hAnsi="Arial" w:cs="Arial"/>
          <w:i/>
          <w:color w:val="000000" w:themeColor="text1"/>
          <w:sz w:val="20"/>
          <w:szCs w:val="20"/>
        </w:rPr>
      </w:pPr>
      <w:r w:rsidRPr="00182A46">
        <w:rPr>
          <w:rFonts w:ascii="Arial" w:hAnsi="Arial" w:cs="Arial"/>
          <w:b/>
          <w:color w:val="000000" w:themeColor="text1"/>
          <w:sz w:val="20"/>
          <w:szCs w:val="20"/>
        </w:rPr>
        <w:t>„</w:t>
      </w:r>
      <w:r w:rsidRPr="00686464">
        <w:rPr>
          <w:rFonts w:ascii="Arial" w:hAnsi="Arial" w:cs="Arial"/>
          <w:bCs/>
          <w:color w:val="000000" w:themeColor="text1"/>
          <w:sz w:val="20"/>
          <w:szCs w:val="20"/>
          <w:shd w:val="clear" w:color="auto" w:fill="FFFFFF"/>
        </w:rPr>
        <w:t>1</w:t>
      </w:r>
      <w:r w:rsidRPr="00182A46">
        <w:rPr>
          <w:rFonts w:ascii="Arial" w:hAnsi="Arial" w:cs="Arial"/>
          <w:b/>
          <w:color w:val="000000" w:themeColor="text1"/>
          <w:sz w:val="20"/>
          <w:szCs w:val="20"/>
          <w:shd w:val="clear" w:color="auto" w:fill="FFFFFF"/>
        </w:rPr>
        <w:t xml:space="preserve">.  </w:t>
      </w:r>
      <w:r w:rsidRPr="00182A46">
        <w:rPr>
          <w:rFonts w:ascii="Arial" w:hAnsi="Arial" w:cs="Arial"/>
          <w:i/>
          <w:color w:val="000000" w:themeColor="text1"/>
          <w:sz w:val="20"/>
          <w:szCs w:val="20"/>
        </w:rPr>
        <w:t>Każdy ma prawo do wolności wyrażania opinii. Prawo to obejmuje wolność posiadania poglądów oraz otrzymywania i przekazywania informacji i idei bez ingerencji władz publicznych i bez względu na granice państwowe. Niniejszy przepis nie wyklucza prawa Państw do poddania procedurze zezwoleń przedsiębiorstw radiowych, telewizyjnych lub kinematograficznych. </w:t>
      </w:r>
    </w:p>
    <w:p w14:paraId="560E2AE5" w14:textId="77777777" w:rsidR="00686464" w:rsidRPr="00182A46" w:rsidRDefault="00686464" w:rsidP="00182A46">
      <w:pPr>
        <w:spacing w:after="0"/>
        <w:jc w:val="both"/>
        <w:rPr>
          <w:rFonts w:ascii="Arial" w:hAnsi="Arial" w:cs="Arial"/>
          <w:b/>
          <w:color w:val="000000" w:themeColor="text1"/>
          <w:sz w:val="20"/>
          <w:szCs w:val="20"/>
          <w:u w:val="single"/>
          <w:shd w:val="clear" w:color="auto" w:fill="FFFFFF"/>
        </w:rPr>
      </w:pPr>
    </w:p>
    <w:p w14:paraId="53E40EA0" w14:textId="77777777" w:rsidR="00816E5C" w:rsidRPr="00182A46" w:rsidRDefault="00816E5C" w:rsidP="00182A46">
      <w:pPr>
        <w:pStyle w:val="Akapitzlist"/>
        <w:numPr>
          <w:ilvl w:val="0"/>
          <w:numId w:val="37"/>
        </w:numPr>
        <w:tabs>
          <w:tab w:val="left" w:pos="567"/>
        </w:tabs>
        <w:spacing w:after="0"/>
        <w:ind w:left="0" w:firstLine="284"/>
        <w:jc w:val="both"/>
        <w:rPr>
          <w:rFonts w:ascii="Arial" w:hAnsi="Arial" w:cs="Arial"/>
          <w:i/>
          <w:color w:val="000000" w:themeColor="text1"/>
          <w:sz w:val="20"/>
          <w:szCs w:val="20"/>
        </w:rPr>
      </w:pPr>
      <w:r w:rsidRPr="00182A46">
        <w:rPr>
          <w:rFonts w:ascii="Arial" w:hAnsi="Arial" w:cs="Arial"/>
          <w:i/>
          <w:color w:val="000000" w:themeColor="text1"/>
          <w:sz w:val="20"/>
          <w:szCs w:val="20"/>
        </w:rPr>
        <w:t>Korzystanie z tych wolności, jako pociągające za sobą obowiązki i odpowiedzialność, może podlegać takim wymogom formalnym, warunkom, ograniczeniom i sankcjom, jakie są przewidziane przez ustawę i niezbędne w społeczeństwie demokratycznym w interesie bezpieczeństwa państwowego, integralności terytorialnej lub bezpieczeństwa publicznego, ze względu na konieczność zapobieżenia zakłóceniu porządku lub przestępstwu, z uwagi na ochronę zdrowia i moralności, ochronę dobrego imienia i praw innych osób oraz ze względu na zapobieżenie ujawnieniu informacji tajnych lub na zagwarantowanie powagi i bezstronności władzy sądowej”.</w:t>
      </w:r>
    </w:p>
    <w:p w14:paraId="6F11E5D7" w14:textId="77777777" w:rsidR="00816E5C" w:rsidRPr="00182A46" w:rsidRDefault="00816E5C" w:rsidP="00182A46">
      <w:pPr>
        <w:tabs>
          <w:tab w:val="left" w:pos="567"/>
        </w:tabs>
        <w:spacing w:after="0"/>
        <w:jc w:val="both"/>
        <w:rPr>
          <w:rFonts w:ascii="Arial" w:hAnsi="Arial" w:cs="Arial"/>
          <w:i/>
          <w:color w:val="000000" w:themeColor="text1"/>
          <w:sz w:val="20"/>
          <w:szCs w:val="20"/>
        </w:rPr>
      </w:pPr>
      <w:r w:rsidRPr="00182A46">
        <w:rPr>
          <w:rFonts w:ascii="Arial" w:hAnsi="Arial" w:cs="Arial"/>
          <w:i/>
          <w:color w:val="000000" w:themeColor="text1"/>
          <w:sz w:val="20"/>
          <w:szCs w:val="20"/>
        </w:rPr>
        <w:t> </w:t>
      </w:r>
    </w:p>
    <w:p w14:paraId="1CAB6185" w14:textId="77777777" w:rsidR="00816E5C" w:rsidRPr="00182A46" w:rsidRDefault="00816E5C" w:rsidP="00182A46">
      <w:pPr>
        <w:spacing w:after="0"/>
        <w:jc w:val="both"/>
        <w:rPr>
          <w:rFonts w:ascii="Arial" w:hAnsi="Arial" w:cs="Arial"/>
          <w:color w:val="000000" w:themeColor="text1"/>
          <w:sz w:val="20"/>
          <w:szCs w:val="20"/>
        </w:rPr>
      </w:pPr>
      <w:r w:rsidRPr="00182A46">
        <w:rPr>
          <w:rFonts w:ascii="Arial" w:hAnsi="Arial" w:cs="Arial"/>
          <w:color w:val="000000" w:themeColor="text1"/>
          <w:sz w:val="20"/>
          <w:szCs w:val="20"/>
          <w:shd w:val="clear" w:color="auto" w:fill="FFFFFF"/>
        </w:rPr>
        <w:t>Zacytowany przepis posługuje się ogólnym pojęciem „</w:t>
      </w:r>
      <w:r w:rsidRPr="00182A46">
        <w:rPr>
          <w:rFonts w:ascii="Arial" w:hAnsi="Arial" w:cs="Arial"/>
          <w:i/>
          <w:iCs/>
          <w:color w:val="000000" w:themeColor="text1"/>
          <w:sz w:val="20"/>
          <w:szCs w:val="20"/>
          <w:shd w:val="clear" w:color="auto" w:fill="FFFFFF"/>
        </w:rPr>
        <w:t>wolność wyrażania poglądów</w:t>
      </w:r>
      <w:r w:rsidRPr="00182A46">
        <w:rPr>
          <w:rFonts w:ascii="Arial" w:hAnsi="Arial" w:cs="Arial"/>
          <w:color w:val="000000" w:themeColor="text1"/>
          <w:sz w:val="20"/>
          <w:szCs w:val="20"/>
          <w:shd w:val="clear" w:color="auto" w:fill="FFFFFF"/>
        </w:rPr>
        <w:t xml:space="preserve">” i wskazuje, że obejmuje ona: wolność posiadania poglądów, wolność otrzymywania informacji i idei oraz wolność ich przekazywania </w:t>
      </w:r>
      <w:r w:rsidRPr="00182A46">
        <w:rPr>
          <w:rFonts w:ascii="Arial" w:hAnsi="Arial" w:cs="Arial"/>
          <w:color w:val="000000" w:themeColor="text1"/>
          <w:sz w:val="20"/>
          <w:szCs w:val="20"/>
        </w:rPr>
        <w:t xml:space="preserve">(wyrok </w:t>
      </w:r>
      <w:proofErr w:type="spellStart"/>
      <w:r w:rsidRPr="00182A46">
        <w:rPr>
          <w:rFonts w:ascii="Arial" w:hAnsi="Arial" w:cs="Arial"/>
          <w:color w:val="000000" w:themeColor="text1"/>
          <w:sz w:val="20"/>
          <w:szCs w:val="20"/>
        </w:rPr>
        <w:t>ETPCz</w:t>
      </w:r>
      <w:proofErr w:type="spellEnd"/>
      <w:r w:rsidRPr="00182A46">
        <w:rPr>
          <w:rFonts w:ascii="Arial" w:hAnsi="Arial" w:cs="Arial"/>
          <w:color w:val="000000" w:themeColor="text1"/>
          <w:sz w:val="20"/>
          <w:szCs w:val="20"/>
        </w:rPr>
        <w:t xml:space="preserve">: </w:t>
      </w:r>
      <w:proofErr w:type="spellStart"/>
      <w:r w:rsidRPr="00182A46">
        <w:rPr>
          <w:rFonts w:ascii="Arial" w:hAnsi="Arial" w:cs="Arial"/>
          <w:color w:val="000000" w:themeColor="text1"/>
          <w:sz w:val="20"/>
          <w:szCs w:val="20"/>
        </w:rPr>
        <w:t>Frankowicz</w:t>
      </w:r>
      <w:proofErr w:type="spellEnd"/>
      <w:r w:rsidRPr="00182A46">
        <w:rPr>
          <w:rFonts w:ascii="Arial" w:hAnsi="Arial" w:cs="Arial"/>
          <w:color w:val="000000" w:themeColor="text1"/>
          <w:sz w:val="20"/>
          <w:szCs w:val="20"/>
        </w:rPr>
        <w:t xml:space="preserve"> przeciwko Polsce, 16 grudnia 2008, par. 51). </w:t>
      </w:r>
      <w:r w:rsidRPr="00182A46">
        <w:rPr>
          <w:rFonts w:ascii="Arial" w:eastAsia="Times New Roman" w:hAnsi="Arial" w:cs="Arial"/>
          <w:color w:val="000000" w:themeColor="text1"/>
          <w:sz w:val="20"/>
          <w:szCs w:val="20"/>
          <w:shd w:val="clear" w:color="auto" w:fill="FFFFFF"/>
        </w:rPr>
        <w:t xml:space="preserve">Na gruncie prawa krajowego zgodnie z art. 54 </w:t>
      </w:r>
      <w:r w:rsidRPr="00182A46">
        <w:rPr>
          <w:rFonts w:ascii="Arial" w:eastAsia="Times New Roman" w:hAnsi="Arial" w:cs="Arial"/>
          <w:bCs/>
          <w:color w:val="000000" w:themeColor="text1"/>
          <w:sz w:val="20"/>
          <w:szCs w:val="20"/>
        </w:rPr>
        <w:t xml:space="preserve">Konstytucji, cyt.: </w:t>
      </w:r>
    </w:p>
    <w:p w14:paraId="75C8DAE5" w14:textId="77777777" w:rsidR="00816E5C" w:rsidRPr="00182A46" w:rsidRDefault="00816E5C" w:rsidP="00182A46">
      <w:pPr>
        <w:spacing w:after="0"/>
        <w:jc w:val="both"/>
        <w:rPr>
          <w:rFonts w:ascii="Arial" w:eastAsia="Times New Roman" w:hAnsi="Arial" w:cs="Arial"/>
          <w:bCs/>
          <w:color w:val="000000" w:themeColor="text1"/>
          <w:sz w:val="20"/>
          <w:szCs w:val="20"/>
        </w:rPr>
      </w:pPr>
    </w:p>
    <w:p w14:paraId="35826A25" w14:textId="77777777" w:rsidR="00816E5C" w:rsidRPr="00182A46" w:rsidRDefault="00816E5C" w:rsidP="00182A46">
      <w:pPr>
        <w:spacing w:after="0"/>
        <w:jc w:val="both"/>
        <w:rPr>
          <w:rFonts w:ascii="Arial" w:eastAsia="Times New Roman" w:hAnsi="Arial" w:cs="Arial"/>
          <w:bCs/>
          <w:color w:val="000000" w:themeColor="text1"/>
          <w:sz w:val="20"/>
          <w:szCs w:val="20"/>
        </w:rPr>
      </w:pPr>
      <w:r w:rsidRPr="00182A46">
        <w:rPr>
          <w:rFonts w:ascii="Arial" w:eastAsia="Times New Roman" w:hAnsi="Arial" w:cs="Arial"/>
          <w:bCs/>
          <w:color w:val="000000" w:themeColor="text1"/>
          <w:sz w:val="20"/>
          <w:szCs w:val="20"/>
        </w:rPr>
        <w:t>„</w:t>
      </w:r>
      <w:r w:rsidRPr="00182A46">
        <w:rPr>
          <w:rFonts w:ascii="Arial" w:hAnsi="Arial" w:cs="Arial"/>
          <w:i/>
          <w:color w:val="000000" w:themeColor="text1"/>
          <w:sz w:val="20"/>
          <w:szCs w:val="20"/>
        </w:rPr>
        <w:t xml:space="preserve">1. </w:t>
      </w:r>
      <w:r w:rsidRPr="00182A46">
        <w:rPr>
          <w:rFonts w:ascii="Arial" w:eastAsia="Times New Roman" w:hAnsi="Arial" w:cs="Arial"/>
          <w:i/>
          <w:color w:val="000000" w:themeColor="text1"/>
          <w:sz w:val="20"/>
          <w:szCs w:val="20"/>
        </w:rPr>
        <w:t>Każdemu zapewnia się wolność wyrażania swoich poglądów oraz pozyskiwania i rozpowszechniania informacji.</w:t>
      </w:r>
    </w:p>
    <w:p w14:paraId="672ED718" w14:textId="77777777" w:rsidR="00816E5C" w:rsidRPr="00182A46" w:rsidRDefault="00816E5C" w:rsidP="00182A46">
      <w:pPr>
        <w:spacing w:after="0"/>
        <w:jc w:val="both"/>
        <w:rPr>
          <w:rFonts w:ascii="Arial" w:eastAsia="Times New Roman" w:hAnsi="Arial" w:cs="Arial"/>
          <w:i/>
          <w:color w:val="000000" w:themeColor="text1"/>
          <w:sz w:val="20"/>
          <w:szCs w:val="20"/>
        </w:rPr>
      </w:pPr>
      <w:r w:rsidRPr="00182A46">
        <w:rPr>
          <w:rFonts w:ascii="Arial" w:eastAsia="Times New Roman" w:hAnsi="Arial" w:cs="Arial"/>
          <w:i/>
          <w:color w:val="000000" w:themeColor="text1"/>
          <w:sz w:val="20"/>
          <w:szCs w:val="20"/>
        </w:rPr>
        <w:t>2. Cenzura prewencyjna środków społecznego przekazu oraz koncesjonowanie prasy są zakazane. Ustawa może wprowadzić obowiązek uprzedniego uzyskania koncesji na prowadzenie stacji radiowej lub telewizyjnej”.</w:t>
      </w:r>
    </w:p>
    <w:p w14:paraId="0AFEA2C4" w14:textId="77777777" w:rsidR="00816E5C" w:rsidRPr="00182A46" w:rsidRDefault="00816E5C" w:rsidP="00182A46">
      <w:pPr>
        <w:spacing w:after="0"/>
        <w:jc w:val="both"/>
        <w:rPr>
          <w:rFonts w:ascii="Arial" w:eastAsia="Calibri" w:hAnsi="Arial" w:cs="Arial"/>
          <w:i/>
          <w:color w:val="000000" w:themeColor="text1"/>
          <w:sz w:val="20"/>
          <w:szCs w:val="20"/>
        </w:rPr>
      </w:pPr>
    </w:p>
    <w:p w14:paraId="65B6F405" w14:textId="26B92274"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 xml:space="preserve">W przedmiotowej uchwale nie sposób dopatrzyć się normatywnego „wezwania do stosowania przemocy, pozbawienia cudzoziemców ochrony prawnej”, czy też „odmowy realizacji praw gwarantowanych ustawowo lub traktatowo”. Uchwała nie ustanawia mechanizmów wykluczających cudzoziemców z dostępu do usług publicznych, świadczeń lub procedur administracyjnych. Obowiązujące regulacje unijne dot. tzw. „paktu migracyjnego” przewidują różnorodne formy realizacji </w:t>
      </w:r>
      <w:r w:rsidRPr="00182A46">
        <w:rPr>
          <w:rFonts w:ascii="Arial" w:hAnsi="Arial" w:cs="Arial"/>
          <w:sz w:val="20"/>
          <w:szCs w:val="20"/>
        </w:rPr>
        <w:lastRenderedPageBreak/>
        <w:t>mechanizmów solidarnościowych. Zawierają one nie tylko relokacje migrantów, lecz również wsparcie finansowe oraz pomoc operacyjną w obszarze zarządzania migracją i ochroną granic. Tym samym, sama krytyczna ocena jednego z możliwych mechanizmów realizacji polityki migracyjnej nie może być utożsamiana z negowaniem całego systemu ochrony międzynarodowej przewidzianego przez prawo UE.</w:t>
      </w:r>
    </w:p>
    <w:p w14:paraId="36BC5436" w14:textId="77777777" w:rsidR="00816E5C" w:rsidRPr="00182A46" w:rsidRDefault="00816E5C" w:rsidP="00182A46">
      <w:pPr>
        <w:spacing w:after="0"/>
        <w:jc w:val="both"/>
        <w:rPr>
          <w:rFonts w:ascii="Arial" w:hAnsi="Arial" w:cs="Arial"/>
          <w:sz w:val="20"/>
          <w:szCs w:val="20"/>
        </w:rPr>
      </w:pPr>
    </w:p>
    <w:p w14:paraId="395B2AE4" w14:textId="77777777" w:rsidR="00686464" w:rsidRDefault="00686464" w:rsidP="00182A46">
      <w:pPr>
        <w:spacing w:after="0"/>
        <w:jc w:val="both"/>
        <w:rPr>
          <w:rFonts w:ascii="Arial" w:eastAsia="Times New Roman" w:hAnsi="Arial" w:cs="Arial"/>
          <w:color w:val="000000" w:themeColor="text1"/>
          <w:sz w:val="20"/>
          <w:szCs w:val="20"/>
        </w:rPr>
      </w:pPr>
    </w:p>
    <w:p w14:paraId="71F760C6" w14:textId="3D5D24D7" w:rsidR="00816E5C" w:rsidRPr="00182A46" w:rsidRDefault="00816E5C" w:rsidP="00182A46">
      <w:pPr>
        <w:spacing w:after="0"/>
        <w:jc w:val="both"/>
        <w:rPr>
          <w:rFonts w:ascii="Arial" w:eastAsia="Times New Roman" w:hAnsi="Arial" w:cs="Arial"/>
          <w:color w:val="000000" w:themeColor="text1"/>
          <w:sz w:val="20"/>
          <w:szCs w:val="20"/>
        </w:rPr>
      </w:pPr>
      <w:r w:rsidRPr="00182A46">
        <w:rPr>
          <w:rFonts w:ascii="Arial" w:eastAsia="Times New Roman" w:hAnsi="Arial" w:cs="Arial"/>
          <w:color w:val="000000" w:themeColor="text1"/>
          <w:sz w:val="20"/>
          <w:szCs w:val="20"/>
        </w:rPr>
        <w:t xml:space="preserve">Korzystając z tego prawa </w:t>
      </w:r>
      <w:r w:rsidR="00182A46" w:rsidRPr="00182A46">
        <w:rPr>
          <w:rFonts w:ascii="Arial" w:eastAsia="Times New Roman" w:hAnsi="Arial" w:cs="Arial"/>
          <w:color w:val="000000" w:themeColor="text1"/>
          <w:sz w:val="20"/>
          <w:szCs w:val="20"/>
        </w:rPr>
        <w:t>organy jednostek samorządu terytorialnego</w:t>
      </w:r>
      <w:r w:rsidRPr="00182A46">
        <w:rPr>
          <w:rFonts w:ascii="Arial" w:eastAsia="Times New Roman" w:hAnsi="Arial" w:cs="Arial"/>
          <w:color w:val="000000" w:themeColor="text1"/>
          <w:sz w:val="20"/>
          <w:szCs w:val="20"/>
        </w:rPr>
        <w:t xml:space="preserve"> wypowi</w:t>
      </w:r>
      <w:r w:rsidR="00182A46" w:rsidRPr="00182A46">
        <w:rPr>
          <w:rFonts w:ascii="Arial" w:eastAsia="Times New Roman" w:hAnsi="Arial" w:cs="Arial"/>
          <w:color w:val="000000" w:themeColor="text1"/>
          <w:sz w:val="20"/>
          <w:szCs w:val="20"/>
        </w:rPr>
        <w:t>adają</w:t>
      </w:r>
      <w:r w:rsidRPr="00182A46">
        <w:rPr>
          <w:rFonts w:ascii="Arial" w:eastAsia="Times New Roman" w:hAnsi="Arial" w:cs="Arial"/>
          <w:color w:val="000000" w:themeColor="text1"/>
          <w:sz w:val="20"/>
          <w:szCs w:val="20"/>
        </w:rPr>
        <w:t xml:space="preserve"> pogląd, w którym: </w:t>
      </w:r>
    </w:p>
    <w:p w14:paraId="3A487EDF" w14:textId="77777777" w:rsidR="00816E5C" w:rsidRPr="00182A46" w:rsidRDefault="00816E5C" w:rsidP="00182A46">
      <w:pPr>
        <w:spacing w:after="0"/>
        <w:jc w:val="both"/>
        <w:rPr>
          <w:rFonts w:ascii="Arial" w:eastAsia="Times New Roman" w:hAnsi="Arial" w:cs="Arial"/>
          <w:color w:val="000000" w:themeColor="text1"/>
          <w:sz w:val="20"/>
          <w:szCs w:val="20"/>
        </w:rPr>
      </w:pPr>
    </w:p>
    <w:p w14:paraId="0A37FD11" w14:textId="3C565D55" w:rsidR="00816E5C" w:rsidRPr="00182A46" w:rsidRDefault="00816E5C" w:rsidP="00182A46">
      <w:pPr>
        <w:spacing w:after="0"/>
        <w:jc w:val="both"/>
        <w:rPr>
          <w:rFonts w:ascii="Arial" w:eastAsia="Times New Roman" w:hAnsi="Arial" w:cs="Arial"/>
          <w:color w:val="000000" w:themeColor="text1"/>
          <w:sz w:val="20"/>
          <w:szCs w:val="20"/>
        </w:rPr>
      </w:pPr>
      <w:r w:rsidRPr="00182A46">
        <w:rPr>
          <w:rFonts w:ascii="Arial" w:eastAsia="Times New Roman" w:hAnsi="Arial" w:cs="Arial"/>
          <w:color w:val="000000" w:themeColor="text1"/>
          <w:sz w:val="20"/>
          <w:szCs w:val="20"/>
        </w:rPr>
        <w:t>- wskaz</w:t>
      </w:r>
      <w:r w:rsidR="00182A46" w:rsidRPr="00182A46">
        <w:rPr>
          <w:rFonts w:ascii="Arial" w:eastAsia="Times New Roman" w:hAnsi="Arial" w:cs="Arial"/>
          <w:color w:val="000000" w:themeColor="text1"/>
          <w:sz w:val="20"/>
          <w:szCs w:val="20"/>
        </w:rPr>
        <w:t>ują</w:t>
      </w:r>
      <w:r w:rsidRPr="00182A46">
        <w:rPr>
          <w:rFonts w:ascii="Arial" w:eastAsia="Times New Roman" w:hAnsi="Arial" w:cs="Arial"/>
          <w:color w:val="000000" w:themeColor="text1"/>
          <w:sz w:val="20"/>
          <w:szCs w:val="20"/>
        </w:rPr>
        <w:t xml:space="preserve"> na obawę o bezpieczeństwo mieszkańców z powodu doniesień prasowych w analogicznych sytuacjach;</w:t>
      </w:r>
    </w:p>
    <w:p w14:paraId="20F436AA" w14:textId="5B018427" w:rsidR="00816E5C" w:rsidRPr="00182A46" w:rsidRDefault="00816E5C" w:rsidP="00182A46">
      <w:pPr>
        <w:spacing w:after="0"/>
        <w:jc w:val="both"/>
        <w:rPr>
          <w:rFonts w:ascii="Arial" w:eastAsia="Times New Roman" w:hAnsi="Arial" w:cs="Arial"/>
          <w:color w:val="000000" w:themeColor="text1"/>
          <w:sz w:val="20"/>
          <w:szCs w:val="20"/>
        </w:rPr>
      </w:pPr>
      <w:r w:rsidRPr="00182A46">
        <w:rPr>
          <w:rFonts w:ascii="Arial" w:eastAsia="Times New Roman" w:hAnsi="Arial" w:cs="Arial"/>
          <w:color w:val="000000" w:themeColor="text1"/>
          <w:sz w:val="20"/>
          <w:szCs w:val="20"/>
        </w:rPr>
        <w:t>-</w:t>
      </w:r>
      <w:r w:rsidR="00182A46" w:rsidRPr="00182A46">
        <w:rPr>
          <w:rFonts w:ascii="Arial" w:eastAsia="Times New Roman" w:hAnsi="Arial" w:cs="Arial"/>
          <w:color w:val="000000" w:themeColor="text1"/>
          <w:sz w:val="20"/>
          <w:szCs w:val="20"/>
        </w:rPr>
        <w:t xml:space="preserve"> </w:t>
      </w:r>
      <w:r w:rsidRPr="00182A46">
        <w:rPr>
          <w:rFonts w:ascii="Arial" w:eastAsia="Times New Roman" w:hAnsi="Arial" w:cs="Arial"/>
          <w:color w:val="000000" w:themeColor="text1"/>
          <w:sz w:val="20"/>
          <w:szCs w:val="20"/>
        </w:rPr>
        <w:t>podkreśl</w:t>
      </w:r>
      <w:r w:rsidR="00182A46" w:rsidRPr="00182A46">
        <w:rPr>
          <w:rFonts w:ascii="Arial" w:eastAsia="Times New Roman" w:hAnsi="Arial" w:cs="Arial"/>
          <w:color w:val="000000" w:themeColor="text1"/>
          <w:sz w:val="20"/>
          <w:szCs w:val="20"/>
        </w:rPr>
        <w:t>ają</w:t>
      </w:r>
      <w:r w:rsidRPr="00182A46">
        <w:rPr>
          <w:rFonts w:ascii="Arial" w:eastAsia="Times New Roman" w:hAnsi="Arial" w:cs="Arial"/>
          <w:color w:val="000000" w:themeColor="text1"/>
          <w:sz w:val="20"/>
          <w:szCs w:val="20"/>
        </w:rPr>
        <w:t>, że nie ma</w:t>
      </w:r>
      <w:r w:rsidR="00182A46" w:rsidRPr="00182A46">
        <w:rPr>
          <w:rFonts w:ascii="Arial" w:eastAsia="Times New Roman" w:hAnsi="Arial" w:cs="Arial"/>
          <w:color w:val="000000" w:themeColor="text1"/>
          <w:sz w:val="20"/>
          <w:szCs w:val="20"/>
        </w:rPr>
        <w:t>ją</w:t>
      </w:r>
      <w:r w:rsidRPr="00182A46">
        <w:rPr>
          <w:rFonts w:ascii="Arial" w:eastAsia="Times New Roman" w:hAnsi="Arial" w:cs="Arial"/>
          <w:color w:val="000000" w:themeColor="text1"/>
          <w:sz w:val="20"/>
          <w:szCs w:val="20"/>
        </w:rPr>
        <w:t xml:space="preserve"> generalnych uprzedzeń do obcokrajowców; nie dokonywał</w:t>
      </w:r>
      <w:r w:rsidR="00182A46" w:rsidRPr="00182A46">
        <w:rPr>
          <w:rFonts w:ascii="Arial" w:eastAsia="Times New Roman" w:hAnsi="Arial" w:cs="Arial"/>
          <w:color w:val="000000" w:themeColor="text1"/>
          <w:sz w:val="20"/>
          <w:szCs w:val="20"/>
        </w:rPr>
        <w:t>y</w:t>
      </w:r>
      <w:r w:rsidRPr="00182A46">
        <w:rPr>
          <w:rFonts w:ascii="Arial" w:eastAsia="Times New Roman" w:hAnsi="Arial" w:cs="Arial"/>
          <w:color w:val="000000" w:themeColor="text1"/>
          <w:sz w:val="20"/>
          <w:szCs w:val="20"/>
        </w:rPr>
        <w:t xml:space="preserve"> dezaprobaty dla cudzoziemców a jedynie dla ich konkretnego zachowania, w określonych sytuacjach wskazanych w doniesieniach prasowych; </w:t>
      </w:r>
    </w:p>
    <w:p w14:paraId="53E1E828" w14:textId="1E29C6BC" w:rsidR="00816E5C" w:rsidRPr="00182A46" w:rsidRDefault="00816E5C" w:rsidP="00182A46">
      <w:pPr>
        <w:spacing w:after="0"/>
        <w:jc w:val="both"/>
        <w:rPr>
          <w:rFonts w:ascii="Arial" w:eastAsia="Times New Roman" w:hAnsi="Arial" w:cs="Arial"/>
          <w:color w:val="000000" w:themeColor="text1"/>
          <w:sz w:val="20"/>
          <w:szCs w:val="20"/>
        </w:rPr>
      </w:pPr>
      <w:r w:rsidRPr="00182A46">
        <w:rPr>
          <w:rFonts w:ascii="Arial" w:eastAsia="Times New Roman" w:hAnsi="Arial" w:cs="Arial"/>
          <w:color w:val="000000" w:themeColor="text1"/>
          <w:sz w:val="20"/>
          <w:szCs w:val="20"/>
        </w:rPr>
        <w:t>-wskaz</w:t>
      </w:r>
      <w:r w:rsidR="00182A46" w:rsidRPr="00182A46">
        <w:rPr>
          <w:rFonts w:ascii="Arial" w:eastAsia="Times New Roman" w:hAnsi="Arial" w:cs="Arial"/>
          <w:color w:val="000000" w:themeColor="text1"/>
          <w:sz w:val="20"/>
          <w:szCs w:val="20"/>
        </w:rPr>
        <w:t>ują</w:t>
      </w:r>
      <w:r w:rsidRPr="00182A46">
        <w:rPr>
          <w:rFonts w:ascii="Arial" w:eastAsia="Times New Roman" w:hAnsi="Arial" w:cs="Arial"/>
          <w:color w:val="000000" w:themeColor="text1"/>
          <w:sz w:val="20"/>
          <w:szCs w:val="20"/>
        </w:rPr>
        <w:t xml:space="preserve"> na fakt, że nielegalni imigranci zasadniczo nie podejmują pracy zarobkowej oraz nie akceptują zasad prawa obowiązujących na danym tereni</w:t>
      </w:r>
      <w:r w:rsidR="00182A46" w:rsidRPr="00182A46">
        <w:rPr>
          <w:rFonts w:ascii="Arial" w:eastAsia="Times New Roman" w:hAnsi="Arial" w:cs="Arial"/>
          <w:color w:val="000000" w:themeColor="text1"/>
          <w:sz w:val="20"/>
          <w:szCs w:val="20"/>
        </w:rPr>
        <w:t>e, etc.;</w:t>
      </w:r>
      <w:r w:rsidRPr="00182A46">
        <w:rPr>
          <w:rFonts w:ascii="Arial" w:eastAsia="Times New Roman" w:hAnsi="Arial" w:cs="Arial"/>
          <w:color w:val="000000" w:themeColor="text1"/>
          <w:sz w:val="20"/>
          <w:szCs w:val="20"/>
        </w:rPr>
        <w:t xml:space="preserve"> </w:t>
      </w:r>
    </w:p>
    <w:p w14:paraId="1C941C8D" w14:textId="4BDB424C" w:rsidR="00816E5C" w:rsidRPr="00182A46" w:rsidRDefault="00816E5C" w:rsidP="00182A46">
      <w:pPr>
        <w:spacing w:after="0"/>
        <w:jc w:val="both"/>
        <w:rPr>
          <w:rFonts w:ascii="Arial" w:eastAsia="Times New Roman" w:hAnsi="Arial" w:cs="Arial"/>
          <w:color w:val="000000" w:themeColor="text1"/>
          <w:sz w:val="20"/>
          <w:szCs w:val="20"/>
        </w:rPr>
      </w:pPr>
      <w:r w:rsidRPr="00182A46">
        <w:rPr>
          <w:rFonts w:ascii="Arial" w:eastAsia="Times New Roman" w:hAnsi="Arial" w:cs="Arial"/>
          <w:color w:val="000000" w:themeColor="text1"/>
          <w:sz w:val="20"/>
          <w:szCs w:val="20"/>
        </w:rPr>
        <w:t>- nie zawarł</w:t>
      </w:r>
      <w:r w:rsidR="00182A46" w:rsidRPr="00182A46">
        <w:rPr>
          <w:rFonts w:ascii="Arial" w:eastAsia="Times New Roman" w:hAnsi="Arial" w:cs="Arial"/>
          <w:color w:val="000000" w:themeColor="text1"/>
          <w:sz w:val="20"/>
          <w:szCs w:val="20"/>
        </w:rPr>
        <w:t>y</w:t>
      </w:r>
      <w:r w:rsidRPr="00182A46">
        <w:rPr>
          <w:rFonts w:ascii="Arial" w:eastAsia="Times New Roman" w:hAnsi="Arial" w:cs="Arial"/>
          <w:color w:val="000000" w:themeColor="text1"/>
          <w:sz w:val="20"/>
          <w:szCs w:val="20"/>
        </w:rPr>
        <w:t xml:space="preserve"> w żadnym fragmencie uzasadnienia uchwały jak i w samej uchwale elementów tzw. mowy nienawiści. </w:t>
      </w:r>
    </w:p>
    <w:p w14:paraId="791814C7" w14:textId="77777777" w:rsidR="00816E5C" w:rsidRPr="00182A46" w:rsidRDefault="00816E5C" w:rsidP="00182A46">
      <w:pPr>
        <w:spacing w:after="0"/>
        <w:jc w:val="both"/>
        <w:rPr>
          <w:rStyle w:val="hgkelc"/>
          <w:rFonts w:ascii="Arial" w:eastAsia="Calibri" w:hAnsi="Arial" w:cs="Arial"/>
          <w:sz w:val="20"/>
          <w:szCs w:val="20"/>
        </w:rPr>
      </w:pPr>
    </w:p>
    <w:p w14:paraId="211E4EAB" w14:textId="77777777" w:rsidR="00686464" w:rsidRDefault="00686464" w:rsidP="00182A46">
      <w:pPr>
        <w:spacing w:after="0"/>
        <w:jc w:val="both"/>
        <w:rPr>
          <w:rStyle w:val="hgkelc"/>
          <w:rFonts w:ascii="Arial" w:hAnsi="Arial" w:cs="Arial"/>
          <w:sz w:val="20"/>
          <w:szCs w:val="20"/>
        </w:rPr>
      </w:pPr>
    </w:p>
    <w:p w14:paraId="2BE2020B" w14:textId="79893E0C" w:rsidR="00816E5C" w:rsidRPr="00182A46" w:rsidRDefault="00816E5C" w:rsidP="00182A46">
      <w:pPr>
        <w:spacing w:after="0"/>
        <w:jc w:val="both"/>
        <w:rPr>
          <w:rStyle w:val="hgkelc"/>
          <w:rFonts w:ascii="Arial" w:hAnsi="Arial" w:cs="Arial"/>
          <w:sz w:val="20"/>
          <w:szCs w:val="20"/>
        </w:rPr>
      </w:pPr>
      <w:r w:rsidRPr="00182A46">
        <w:rPr>
          <w:rStyle w:val="hgkelc"/>
          <w:rFonts w:ascii="Arial" w:hAnsi="Arial" w:cs="Arial"/>
          <w:sz w:val="20"/>
          <w:szCs w:val="20"/>
        </w:rPr>
        <w:t xml:space="preserve">Ww. wypowiedzi </w:t>
      </w:r>
      <w:r w:rsidRPr="00182A46">
        <w:rPr>
          <w:rStyle w:val="hgkelc"/>
          <w:rFonts w:ascii="Arial" w:hAnsi="Arial" w:cs="Arial"/>
          <w:b/>
          <w:bCs/>
          <w:sz w:val="20"/>
          <w:szCs w:val="20"/>
        </w:rPr>
        <w:t>mieszczą się w granicach wskazanej wyżej wolności słowa.</w:t>
      </w:r>
    </w:p>
    <w:p w14:paraId="18751B44" w14:textId="77777777" w:rsidR="00816E5C" w:rsidRPr="00182A46" w:rsidRDefault="00816E5C" w:rsidP="00182A46">
      <w:pPr>
        <w:spacing w:after="0"/>
        <w:jc w:val="both"/>
        <w:rPr>
          <w:rFonts w:ascii="Arial" w:hAnsi="Arial" w:cs="Arial"/>
          <w:sz w:val="20"/>
          <w:szCs w:val="20"/>
        </w:rPr>
      </w:pPr>
    </w:p>
    <w:p w14:paraId="5FA3CD2D" w14:textId="7DFFDDA4" w:rsidR="00816E5C" w:rsidRPr="00182A46" w:rsidRDefault="00182A46" w:rsidP="00182A46">
      <w:pPr>
        <w:spacing w:after="0"/>
        <w:jc w:val="both"/>
        <w:rPr>
          <w:rFonts w:ascii="Arial" w:hAnsi="Arial" w:cs="Arial"/>
          <w:b/>
          <w:bCs/>
          <w:sz w:val="20"/>
          <w:szCs w:val="20"/>
          <w:u w:val="single"/>
        </w:rPr>
      </w:pPr>
      <w:r w:rsidRPr="00182A46">
        <w:rPr>
          <w:rFonts w:ascii="Arial" w:hAnsi="Arial" w:cs="Arial"/>
          <w:sz w:val="20"/>
          <w:szCs w:val="20"/>
        </w:rPr>
        <w:t>B</w:t>
      </w:r>
      <w:r w:rsidR="00816E5C" w:rsidRPr="00182A46">
        <w:rPr>
          <w:rFonts w:ascii="Arial" w:hAnsi="Arial" w:cs="Arial"/>
          <w:b/>
          <w:bCs/>
          <w:sz w:val="20"/>
          <w:szCs w:val="20"/>
        </w:rPr>
        <w:t>rak jest podstaw</w:t>
      </w:r>
      <w:r w:rsidRPr="00182A46">
        <w:rPr>
          <w:rFonts w:ascii="Arial" w:hAnsi="Arial" w:cs="Arial"/>
          <w:sz w:val="20"/>
          <w:szCs w:val="20"/>
        </w:rPr>
        <w:t xml:space="preserve"> do twierdzenia, </w:t>
      </w:r>
      <w:r w:rsidR="00816E5C" w:rsidRPr="00182A46">
        <w:rPr>
          <w:rFonts w:ascii="Arial" w:hAnsi="Arial" w:cs="Arial"/>
          <w:sz w:val="20"/>
          <w:szCs w:val="20"/>
        </w:rPr>
        <w:t xml:space="preserve">że samo podjęcie przedmiotowej uchwały automatycznie wyłącza możliwość ubiegania się przez </w:t>
      </w:r>
      <w:r w:rsidRPr="00182A46">
        <w:rPr>
          <w:rFonts w:ascii="Arial" w:hAnsi="Arial" w:cs="Arial"/>
          <w:sz w:val="20"/>
          <w:szCs w:val="20"/>
        </w:rPr>
        <w:t>jednostkę samorządu terytorialnego</w:t>
      </w:r>
      <w:r w:rsidR="00816E5C" w:rsidRPr="00182A46">
        <w:rPr>
          <w:rFonts w:ascii="Arial" w:hAnsi="Arial" w:cs="Arial"/>
          <w:sz w:val="20"/>
          <w:szCs w:val="20"/>
        </w:rPr>
        <w:t xml:space="preserve"> lub podmioty z ni</w:t>
      </w:r>
      <w:r w:rsidRPr="00182A46">
        <w:rPr>
          <w:rFonts w:ascii="Arial" w:hAnsi="Arial" w:cs="Arial"/>
          <w:sz w:val="20"/>
          <w:szCs w:val="20"/>
        </w:rPr>
        <w:t>ą</w:t>
      </w:r>
      <w:r w:rsidR="00816E5C" w:rsidRPr="00182A46">
        <w:rPr>
          <w:rFonts w:ascii="Arial" w:hAnsi="Arial" w:cs="Arial"/>
          <w:sz w:val="20"/>
          <w:szCs w:val="20"/>
        </w:rPr>
        <w:t xml:space="preserve"> </w:t>
      </w:r>
      <w:r w:rsidRPr="00182A46">
        <w:rPr>
          <w:rFonts w:ascii="Arial" w:hAnsi="Arial" w:cs="Arial"/>
          <w:sz w:val="20"/>
          <w:szCs w:val="20"/>
        </w:rPr>
        <w:t>powiązane</w:t>
      </w:r>
      <w:r w:rsidR="00816E5C" w:rsidRPr="00182A46">
        <w:rPr>
          <w:rFonts w:ascii="Arial" w:hAnsi="Arial" w:cs="Arial"/>
          <w:sz w:val="20"/>
          <w:szCs w:val="20"/>
        </w:rPr>
        <w:t xml:space="preserve"> o środki w ramach programu Fundusze Europejskiej 2021-2027. Art. 9 ust. 3 Rozporządzenia 2021/1060 nakłada na P</w:t>
      </w:r>
      <w:r w:rsidRPr="00182A46">
        <w:rPr>
          <w:rFonts w:ascii="Arial" w:hAnsi="Arial" w:cs="Arial"/>
          <w:sz w:val="20"/>
          <w:szCs w:val="20"/>
        </w:rPr>
        <w:t xml:space="preserve">aństwa Członkowskie </w:t>
      </w:r>
      <w:r w:rsidR="00816E5C" w:rsidRPr="00182A46">
        <w:rPr>
          <w:rFonts w:ascii="Arial" w:hAnsi="Arial" w:cs="Arial"/>
          <w:sz w:val="20"/>
          <w:szCs w:val="20"/>
        </w:rPr>
        <w:t xml:space="preserve"> </w:t>
      </w:r>
      <w:r w:rsidR="00816E5C" w:rsidRPr="00182A46">
        <w:rPr>
          <w:rFonts w:ascii="Arial" w:hAnsi="Arial" w:cs="Arial"/>
          <w:b/>
          <w:bCs/>
          <w:sz w:val="20"/>
          <w:szCs w:val="20"/>
        </w:rPr>
        <w:t>obowiązek podejmowania</w:t>
      </w:r>
      <w:r w:rsidR="00816E5C" w:rsidRPr="00182A46">
        <w:rPr>
          <w:rFonts w:ascii="Arial" w:hAnsi="Arial" w:cs="Arial"/>
          <w:sz w:val="20"/>
          <w:szCs w:val="20"/>
        </w:rPr>
        <w:t xml:space="preserve"> „</w:t>
      </w:r>
      <w:r w:rsidR="00816E5C" w:rsidRPr="00182A46">
        <w:rPr>
          <w:rFonts w:ascii="Arial" w:hAnsi="Arial" w:cs="Arial"/>
          <w:i/>
          <w:iCs/>
          <w:sz w:val="20"/>
          <w:szCs w:val="20"/>
        </w:rPr>
        <w:t>odpowiednich działań</w:t>
      </w:r>
      <w:r w:rsidR="00816E5C" w:rsidRPr="00182A46">
        <w:rPr>
          <w:rFonts w:ascii="Arial" w:hAnsi="Arial" w:cs="Arial"/>
          <w:sz w:val="20"/>
          <w:szCs w:val="20"/>
        </w:rPr>
        <w:t>” służących przeciwdziałaniu dyskryminacji podczas przygotowania i realizacji programów finansowych ze środków unijnych. Nie może to być utożsamiane z automatycznym mechanizmem pozbawienia dostępu do finansowania wyłącznie na podstawie kontrowersyjnego stanowiska politycznego, wyrażone przez organ j</w:t>
      </w:r>
      <w:r w:rsidRPr="00182A46">
        <w:rPr>
          <w:rFonts w:ascii="Arial" w:hAnsi="Arial" w:cs="Arial"/>
          <w:sz w:val="20"/>
          <w:szCs w:val="20"/>
        </w:rPr>
        <w:t>ednostki samorządu terytorialnego</w:t>
      </w:r>
      <w:r w:rsidR="00816E5C" w:rsidRPr="00182A46">
        <w:rPr>
          <w:rFonts w:ascii="Arial" w:hAnsi="Arial" w:cs="Arial"/>
          <w:sz w:val="20"/>
          <w:szCs w:val="20"/>
        </w:rPr>
        <w:t xml:space="preserve">. </w:t>
      </w:r>
      <w:r w:rsidR="00816E5C" w:rsidRPr="00182A46">
        <w:rPr>
          <w:rFonts w:ascii="Arial" w:hAnsi="Arial" w:cs="Arial"/>
          <w:b/>
          <w:bCs/>
          <w:sz w:val="20"/>
          <w:szCs w:val="20"/>
          <w:u w:val="single"/>
        </w:rPr>
        <w:t xml:space="preserve">Dla odmowy przyznania wsparcia koniecznie byłoby wykazanie rzeczywistego, konkretnego i bezpośredniego naruszenia zasad niedyskryminacji przy realizacji danego projektu lub działalności konkretnego beneficjenta. </w:t>
      </w:r>
    </w:p>
    <w:p w14:paraId="2A033082" w14:textId="77777777" w:rsidR="00816E5C" w:rsidRPr="00182A46" w:rsidRDefault="00816E5C" w:rsidP="00182A46">
      <w:pPr>
        <w:spacing w:after="0"/>
        <w:jc w:val="both"/>
        <w:rPr>
          <w:rFonts w:ascii="Arial" w:hAnsi="Arial" w:cs="Arial"/>
          <w:sz w:val="20"/>
          <w:szCs w:val="20"/>
        </w:rPr>
      </w:pPr>
    </w:p>
    <w:p w14:paraId="5768BA0D" w14:textId="77777777" w:rsidR="00816E5C" w:rsidRPr="00182A46" w:rsidRDefault="00816E5C" w:rsidP="00182A46">
      <w:pPr>
        <w:spacing w:after="0"/>
        <w:jc w:val="both"/>
        <w:rPr>
          <w:rFonts w:ascii="Arial" w:hAnsi="Arial" w:cs="Arial"/>
          <w:sz w:val="20"/>
          <w:szCs w:val="20"/>
        </w:rPr>
      </w:pPr>
      <w:r w:rsidRPr="00182A46">
        <w:rPr>
          <w:rFonts w:ascii="Arial" w:hAnsi="Arial" w:cs="Arial"/>
          <w:sz w:val="20"/>
          <w:szCs w:val="20"/>
        </w:rPr>
        <w:t>Przyjęcie uchwały o charakterze deklaratywnym nie może być uznane za przesłankę automatycznie wykluczającą wszystkie jednostki organizacyjne, podmioty zależne lub spółki powiązane z powiatem z możliwością korzystania ze środków polityki spójności.</w:t>
      </w:r>
    </w:p>
    <w:p w14:paraId="67B661DB" w14:textId="77777777" w:rsidR="00816E5C" w:rsidRPr="00182A46" w:rsidRDefault="00816E5C" w:rsidP="00182A46">
      <w:pPr>
        <w:spacing w:after="0"/>
        <w:jc w:val="both"/>
        <w:rPr>
          <w:rFonts w:ascii="Arial" w:hAnsi="Arial" w:cs="Arial"/>
          <w:sz w:val="20"/>
          <w:szCs w:val="20"/>
        </w:rPr>
      </w:pPr>
    </w:p>
    <w:p w14:paraId="3CBD0D7E" w14:textId="77777777" w:rsidR="00686464" w:rsidRDefault="00686464" w:rsidP="00182A46">
      <w:pPr>
        <w:spacing w:after="0"/>
        <w:jc w:val="both"/>
        <w:rPr>
          <w:rFonts w:ascii="Arial" w:hAnsi="Arial" w:cs="Arial"/>
          <w:sz w:val="20"/>
          <w:szCs w:val="20"/>
        </w:rPr>
      </w:pPr>
    </w:p>
    <w:p w14:paraId="315691B3" w14:textId="22BCB6C9" w:rsidR="00182A46" w:rsidRPr="00182A46" w:rsidRDefault="00182A46" w:rsidP="00182A46">
      <w:pPr>
        <w:spacing w:after="0"/>
        <w:jc w:val="both"/>
        <w:rPr>
          <w:rFonts w:ascii="Arial" w:hAnsi="Arial" w:cs="Arial"/>
          <w:sz w:val="20"/>
          <w:szCs w:val="20"/>
        </w:rPr>
      </w:pPr>
      <w:r w:rsidRPr="00182A46">
        <w:rPr>
          <w:rFonts w:ascii="Arial" w:hAnsi="Arial" w:cs="Arial"/>
          <w:sz w:val="20"/>
          <w:szCs w:val="20"/>
        </w:rPr>
        <w:t xml:space="preserve">Zespół Prawników pod kierownictwem </w:t>
      </w:r>
    </w:p>
    <w:p w14:paraId="141DBD15" w14:textId="77777777" w:rsidR="00686464" w:rsidRDefault="00686464" w:rsidP="00182A46">
      <w:pPr>
        <w:spacing w:after="0"/>
        <w:jc w:val="both"/>
        <w:rPr>
          <w:rFonts w:ascii="Arial" w:hAnsi="Arial" w:cs="Arial"/>
          <w:sz w:val="20"/>
          <w:szCs w:val="20"/>
        </w:rPr>
      </w:pPr>
    </w:p>
    <w:p w14:paraId="5AD5064B" w14:textId="59249C14" w:rsidR="00816E5C" w:rsidRPr="00C63A2E" w:rsidRDefault="00816E5C" w:rsidP="00182A46">
      <w:pPr>
        <w:spacing w:after="0"/>
        <w:jc w:val="both"/>
        <w:rPr>
          <w:rFonts w:ascii="Arial" w:hAnsi="Arial" w:cs="Arial"/>
          <w:i/>
          <w:iCs/>
          <w:sz w:val="20"/>
          <w:szCs w:val="20"/>
        </w:rPr>
      </w:pPr>
      <w:r w:rsidRPr="00C63A2E">
        <w:rPr>
          <w:rFonts w:ascii="Arial" w:hAnsi="Arial" w:cs="Arial"/>
          <w:i/>
          <w:iCs/>
          <w:sz w:val="20"/>
          <w:szCs w:val="20"/>
        </w:rPr>
        <w:t>Katarzyn</w:t>
      </w:r>
      <w:r w:rsidR="00686464" w:rsidRPr="00C63A2E">
        <w:rPr>
          <w:rFonts w:ascii="Arial" w:hAnsi="Arial" w:cs="Arial"/>
          <w:i/>
          <w:iCs/>
          <w:sz w:val="20"/>
          <w:szCs w:val="20"/>
        </w:rPr>
        <w:t>y</w:t>
      </w:r>
      <w:r w:rsidRPr="00C63A2E">
        <w:rPr>
          <w:rFonts w:ascii="Arial" w:hAnsi="Arial" w:cs="Arial"/>
          <w:i/>
          <w:iCs/>
          <w:sz w:val="20"/>
          <w:szCs w:val="20"/>
        </w:rPr>
        <w:t xml:space="preserve"> Tarnawa – Gwóźdź</w:t>
      </w:r>
    </w:p>
    <w:p w14:paraId="1FBFC6DD" w14:textId="4B54A1D3" w:rsidR="00C63A2E" w:rsidRPr="00C63A2E" w:rsidRDefault="00C63A2E" w:rsidP="00C63A2E">
      <w:pPr>
        <w:spacing w:after="0"/>
        <w:jc w:val="both"/>
        <w:rPr>
          <w:rFonts w:ascii="Arial" w:hAnsi="Arial" w:cs="Arial"/>
          <w:i/>
          <w:iCs/>
          <w:sz w:val="20"/>
          <w:szCs w:val="20"/>
        </w:rPr>
      </w:pPr>
      <w:r w:rsidRPr="00C63A2E">
        <w:rPr>
          <w:rFonts w:ascii="Arial" w:hAnsi="Arial" w:cs="Arial"/>
          <w:i/>
          <w:iCs/>
          <w:sz w:val="20"/>
          <w:szCs w:val="20"/>
        </w:rPr>
        <w:t xml:space="preserve">Radca prawny </w:t>
      </w:r>
    </w:p>
    <w:p w14:paraId="03770B6B" w14:textId="77777777" w:rsidR="003950B3" w:rsidRPr="00182A46" w:rsidRDefault="003950B3" w:rsidP="00182A46">
      <w:pPr>
        <w:spacing w:after="0"/>
        <w:ind w:firstLine="6096"/>
        <w:rPr>
          <w:rFonts w:ascii="Arial" w:hAnsi="Arial" w:cs="Arial"/>
          <w:color w:val="000000" w:themeColor="text1"/>
          <w:sz w:val="20"/>
          <w:szCs w:val="20"/>
        </w:rPr>
      </w:pPr>
    </w:p>
    <w:sectPr w:rsidR="003950B3" w:rsidRPr="00182A46" w:rsidSect="00BA3081">
      <w:footerReference w:type="default" r:id="rId10"/>
      <w:headerReference w:type="first" r:id="rId11"/>
      <w:footerReference w:type="first" r:id="rId12"/>
      <w:pgSz w:w="11906" w:h="16838" w:code="9"/>
      <w:pgMar w:top="720" w:right="720" w:bottom="993" w:left="720" w:header="425" w:footer="1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0775" w14:textId="77777777" w:rsidR="006478C9" w:rsidRDefault="006478C9" w:rsidP="006008BB">
      <w:pPr>
        <w:spacing w:after="0" w:line="240" w:lineRule="auto"/>
      </w:pPr>
      <w:r>
        <w:separator/>
      </w:r>
    </w:p>
  </w:endnote>
  <w:endnote w:type="continuationSeparator" w:id="0">
    <w:p w14:paraId="6CF1E3B1" w14:textId="77777777" w:rsidR="006478C9" w:rsidRDefault="006478C9" w:rsidP="0060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250227"/>
      <w:docPartObj>
        <w:docPartGallery w:val="Page Numbers (Bottom of Page)"/>
        <w:docPartUnique/>
      </w:docPartObj>
    </w:sdtPr>
    <w:sdtContent>
      <w:p w14:paraId="1DB3FF7F" w14:textId="4FB173A1" w:rsidR="007B3B68" w:rsidRDefault="007B3B68">
        <w:pPr>
          <w:pStyle w:val="Stopka"/>
          <w:jc w:val="center"/>
        </w:pPr>
        <w:r>
          <w:fldChar w:fldCharType="begin"/>
        </w:r>
        <w:r>
          <w:instrText>PAGE   \* MERGEFORMAT</w:instrText>
        </w:r>
        <w:r>
          <w:fldChar w:fldCharType="separate"/>
        </w:r>
        <w:r>
          <w:t>2</w:t>
        </w:r>
        <w:r>
          <w:fldChar w:fldCharType="end"/>
        </w:r>
      </w:p>
    </w:sdtContent>
  </w:sdt>
  <w:p w14:paraId="199A22E6" w14:textId="4E729B13" w:rsidR="00367C51" w:rsidRDefault="00367C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347770"/>
      <w:docPartObj>
        <w:docPartGallery w:val="Page Numbers (Bottom of Page)"/>
        <w:docPartUnique/>
      </w:docPartObj>
    </w:sdtPr>
    <w:sdtContent>
      <w:p w14:paraId="747448F5" w14:textId="1184D2F8" w:rsidR="00816E5C" w:rsidRDefault="00816E5C">
        <w:pPr>
          <w:pStyle w:val="Stopka"/>
          <w:jc w:val="right"/>
        </w:pPr>
        <w:r>
          <w:fldChar w:fldCharType="begin"/>
        </w:r>
        <w:r>
          <w:instrText>PAGE   \* MERGEFORMAT</w:instrText>
        </w:r>
        <w:r>
          <w:fldChar w:fldCharType="separate"/>
        </w:r>
        <w:r>
          <w:t>2</w:t>
        </w:r>
        <w:r>
          <w:fldChar w:fldCharType="end"/>
        </w:r>
      </w:p>
    </w:sdtContent>
  </w:sdt>
  <w:p w14:paraId="61206CF5" w14:textId="0C780C15" w:rsidR="00367C51" w:rsidRDefault="00367C51" w:rsidP="009D03C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FDDF" w14:textId="77777777" w:rsidR="006478C9" w:rsidRDefault="006478C9" w:rsidP="006008BB">
      <w:pPr>
        <w:spacing w:after="0" w:line="240" w:lineRule="auto"/>
      </w:pPr>
      <w:r>
        <w:separator/>
      </w:r>
    </w:p>
  </w:footnote>
  <w:footnote w:type="continuationSeparator" w:id="0">
    <w:p w14:paraId="5EA944AE" w14:textId="77777777" w:rsidR="006478C9" w:rsidRDefault="006478C9" w:rsidP="006008BB">
      <w:pPr>
        <w:spacing w:after="0" w:line="240" w:lineRule="auto"/>
      </w:pPr>
      <w:r>
        <w:continuationSeparator/>
      </w:r>
    </w:p>
  </w:footnote>
  <w:footnote w:id="1">
    <w:p w14:paraId="01D84B1C" w14:textId="467F24DA" w:rsidR="00816E5C" w:rsidRPr="00686464" w:rsidRDefault="00816E5C" w:rsidP="00816E5C">
      <w:pPr>
        <w:rPr>
          <w:rStyle w:val="Hipercze"/>
          <w:rFonts w:ascii="Times New Roman" w:eastAsia="Times New Roman" w:hAnsi="Times New Roman"/>
          <w:color w:val="auto"/>
          <w:u w:val="none"/>
        </w:rPr>
      </w:pPr>
      <w:r>
        <w:rPr>
          <w:rStyle w:val="Odwoanieprzypisudolnego"/>
        </w:rPr>
        <w:footnoteRef/>
      </w:r>
      <w:r>
        <w:t xml:space="preserve"> </w:t>
      </w:r>
      <w:bookmarkStart w:id="0" w:name="docTitle"/>
      <w:r>
        <w:fldChar w:fldCharType="begin"/>
      </w:r>
      <w:r>
        <w:instrText>HYPERLINK "https://sip.lex.pl/" \l "/commentary/587722459/519899/kedziora-karolina-red-smiszek-krzysztof-red-ustawa-o-wdrozeniu-niektorych-przepisow-unii...?cm=URELATIONS"</w:instrText>
      </w:r>
      <w:r>
        <w:fldChar w:fldCharType="separate"/>
      </w:r>
      <w:r>
        <w:rPr>
          <w:rStyle w:val="Hipercze"/>
          <w:rFonts w:ascii="Times New Roman" w:eastAsia="Times New Roman" w:hAnsi="Times New Roman"/>
          <w:color w:val="000000" w:themeColor="text1"/>
          <w:sz w:val="18"/>
          <w:szCs w:val="18"/>
        </w:rPr>
        <w:t xml:space="preserve">Kędziora Karolina (red.), Śmiszek Krzysztof (red.), Ustawa o wdrożeniu niektórych przepisów Unii Europejskiej w zakresie równego traktowania. Komentarz ; LEX </w:t>
      </w:r>
      <w:r>
        <w:fldChar w:fldCharType="end"/>
      </w:r>
    </w:p>
    <w:bookmarkEnd w:id="0"/>
    <w:p w14:paraId="61C617D5" w14:textId="77777777" w:rsidR="00816E5C" w:rsidRDefault="00816E5C" w:rsidP="00816E5C"/>
    <w:p w14:paraId="078D3C19" w14:textId="77777777" w:rsidR="00816E5C" w:rsidRDefault="00816E5C" w:rsidP="00816E5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8FAA" w14:textId="77777777" w:rsidR="00367C51" w:rsidRDefault="00367C51" w:rsidP="00E551EB">
    <w:pPr>
      <w:pStyle w:val="Nagwek"/>
      <w:tabs>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0D"/>
    <w:multiLevelType w:val="multilevel"/>
    <w:tmpl w:val="46269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40778D"/>
    <w:multiLevelType w:val="multilevel"/>
    <w:tmpl w:val="626E7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A477C"/>
    <w:multiLevelType w:val="hybridMultilevel"/>
    <w:tmpl w:val="F8161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380787"/>
    <w:multiLevelType w:val="hybridMultilevel"/>
    <w:tmpl w:val="EF8ED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A35A4"/>
    <w:multiLevelType w:val="hybridMultilevel"/>
    <w:tmpl w:val="EB6A025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EC979BC"/>
    <w:multiLevelType w:val="multilevel"/>
    <w:tmpl w:val="EC24E13E"/>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F2C4191"/>
    <w:multiLevelType w:val="hybridMultilevel"/>
    <w:tmpl w:val="38987F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3066E9"/>
    <w:multiLevelType w:val="multilevel"/>
    <w:tmpl w:val="7566426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0E2A10"/>
    <w:multiLevelType w:val="multilevel"/>
    <w:tmpl w:val="135055AA"/>
    <w:lvl w:ilvl="0">
      <w:start w:val="1"/>
      <w:numFmt w:val="lowerLetter"/>
      <w:lvlText w:val="%1."/>
      <w:lvlJc w:val="left"/>
      <w:pPr>
        <w:tabs>
          <w:tab w:val="num" w:pos="720"/>
        </w:tabs>
        <w:ind w:left="720" w:hanging="360"/>
      </w:pPr>
      <w:rPr>
        <w:rFonts w:ascii="Arial" w:eastAsia="Times New Roman" w:hAnsi="Arial" w:cs="Arial"/>
        <w:b w:val="0"/>
        <w:bCs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C5BB7"/>
    <w:multiLevelType w:val="hybridMultilevel"/>
    <w:tmpl w:val="D57C755A"/>
    <w:lvl w:ilvl="0" w:tplc="59E8A9DC">
      <w:start w:val="1"/>
      <w:numFmt w:val="decimal"/>
      <w:lvlText w:val="%1."/>
      <w:lvlJc w:val="left"/>
      <w:pPr>
        <w:ind w:left="1068" w:hanging="360"/>
      </w:pPr>
      <w:rPr>
        <w:rFonts w:ascii="Arial" w:eastAsia="Times New Roman" w:hAnsi="Arial" w:cs="Arial" w:hint="default"/>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EA43E29"/>
    <w:multiLevelType w:val="hybridMultilevel"/>
    <w:tmpl w:val="C00621E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09F22FC"/>
    <w:multiLevelType w:val="hybridMultilevel"/>
    <w:tmpl w:val="26DC1C42"/>
    <w:lvl w:ilvl="0" w:tplc="63925A4C">
      <w:start w:val="1"/>
      <w:numFmt w:val="lowerLetter"/>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85C0021"/>
    <w:multiLevelType w:val="hybridMultilevel"/>
    <w:tmpl w:val="59CA2DF2"/>
    <w:lvl w:ilvl="0" w:tplc="1A48AFD6">
      <w:start w:val="1"/>
      <w:numFmt w:val="decimal"/>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0950C77"/>
    <w:multiLevelType w:val="multilevel"/>
    <w:tmpl w:val="C726876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54A1319"/>
    <w:multiLevelType w:val="hybridMultilevel"/>
    <w:tmpl w:val="940E53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7696C0D"/>
    <w:multiLevelType w:val="hybridMultilevel"/>
    <w:tmpl w:val="AFF4C8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9A4BE3"/>
    <w:multiLevelType w:val="hybridMultilevel"/>
    <w:tmpl w:val="34AE4EC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9CF73DD"/>
    <w:multiLevelType w:val="hybridMultilevel"/>
    <w:tmpl w:val="78DAA24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E2F6485"/>
    <w:multiLevelType w:val="hybridMultilevel"/>
    <w:tmpl w:val="B3BCBF6E"/>
    <w:lvl w:ilvl="0" w:tplc="E684025A">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9E2823"/>
    <w:multiLevelType w:val="multilevel"/>
    <w:tmpl w:val="075CC8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66538D"/>
    <w:multiLevelType w:val="hybridMultilevel"/>
    <w:tmpl w:val="81D2DFE0"/>
    <w:lvl w:ilvl="0" w:tplc="C81A023E">
      <w:start w:val="1"/>
      <w:numFmt w:val="decimal"/>
      <w:lvlText w:val="%1."/>
      <w:lvlJc w:val="left"/>
      <w:pPr>
        <w:tabs>
          <w:tab w:val="num" w:pos="1191"/>
        </w:tabs>
        <w:ind w:left="1191" w:hanging="765"/>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1" w15:restartNumberingAfterBreak="0">
    <w:nsid w:val="43B24535"/>
    <w:multiLevelType w:val="multilevel"/>
    <w:tmpl w:val="6CC42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DD3880"/>
    <w:multiLevelType w:val="hybridMultilevel"/>
    <w:tmpl w:val="894E1BF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A81026D"/>
    <w:multiLevelType w:val="multilevel"/>
    <w:tmpl w:val="A0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BDC0C64"/>
    <w:multiLevelType w:val="hybridMultilevel"/>
    <w:tmpl w:val="F00699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3828D1"/>
    <w:multiLevelType w:val="multilevel"/>
    <w:tmpl w:val="37C02A08"/>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14B5EF3"/>
    <w:multiLevelType w:val="hybridMultilevel"/>
    <w:tmpl w:val="5D7E07E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5F30AC7"/>
    <w:multiLevelType w:val="multilevel"/>
    <w:tmpl w:val="4EDE2B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67757E4"/>
    <w:multiLevelType w:val="hybridMultilevel"/>
    <w:tmpl w:val="97168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CF4A6E"/>
    <w:multiLevelType w:val="hybridMultilevel"/>
    <w:tmpl w:val="4F96A6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127BCA"/>
    <w:multiLevelType w:val="hybridMultilevel"/>
    <w:tmpl w:val="251604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4B4B18"/>
    <w:multiLevelType w:val="hybridMultilevel"/>
    <w:tmpl w:val="1AD850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FD031F"/>
    <w:multiLevelType w:val="multilevel"/>
    <w:tmpl w:val="B8DC59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6D9633C"/>
    <w:multiLevelType w:val="hybridMultilevel"/>
    <w:tmpl w:val="79C4F522"/>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CB775B1"/>
    <w:multiLevelType w:val="hybridMultilevel"/>
    <w:tmpl w:val="EB6A025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61B3516"/>
    <w:multiLevelType w:val="hybridMultilevel"/>
    <w:tmpl w:val="A4F281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8E66215"/>
    <w:multiLevelType w:val="hybridMultilevel"/>
    <w:tmpl w:val="1B18EB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6E14B4"/>
    <w:multiLevelType w:val="hybridMultilevel"/>
    <w:tmpl w:val="8D2C682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66524506">
    <w:abstractNumId w:val="6"/>
  </w:num>
  <w:num w:numId="2" w16cid:durableId="2099642463">
    <w:abstractNumId w:val="29"/>
  </w:num>
  <w:num w:numId="3" w16cid:durableId="1355885690">
    <w:abstractNumId w:val="26"/>
  </w:num>
  <w:num w:numId="4" w16cid:durableId="5034738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947913">
    <w:abstractNumId w:val="24"/>
  </w:num>
  <w:num w:numId="6" w16cid:durableId="2129425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21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8989699">
    <w:abstractNumId w:val="11"/>
  </w:num>
  <w:num w:numId="9" w16cid:durableId="535316451">
    <w:abstractNumId w:val="4"/>
  </w:num>
  <w:num w:numId="10" w16cid:durableId="604579872">
    <w:abstractNumId w:val="34"/>
  </w:num>
  <w:num w:numId="11" w16cid:durableId="623847729">
    <w:abstractNumId w:val="1"/>
  </w:num>
  <w:num w:numId="12" w16cid:durableId="2026321530">
    <w:abstractNumId w:val="30"/>
  </w:num>
  <w:num w:numId="13" w16cid:durableId="1919632066">
    <w:abstractNumId w:val="9"/>
  </w:num>
  <w:num w:numId="14" w16cid:durableId="732778075">
    <w:abstractNumId w:val="31"/>
  </w:num>
  <w:num w:numId="15" w16cid:durableId="1890603651">
    <w:abstractNumId w:val="12"/>
  </w:num>
  <w:num w:numId="16" w16cid:durableId="1400708078">
    <w:abstractNumId w:val="22"/>
  </w:num>
  <w:num w:numId="17" w16cid:durableId="932544236">
    <w:abstractNumId w:val="17"/>
  </w:num>
  <w:num w:numId="18" w16cid:durableId="381444904">
    <w:abstractNumId w:val="36"/>
  </w:num>
  <w:num w:numId="19" w16cid:durableId="789513628">
    <w:abstractNumId w:val="35"/>
  </w:num>
  <w:num w:numId="20" w16cid:durableId="1218859910">
    <w:abstractNumId w:val="10"/>
  </w:num>
  <w:num w:numId="21" w16cid:durableId="1204705926">
    <w:abstractNumId w:val="3"/>
  </w:num>
  <w:num w:numId="22" w16cid:durableId="14451474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150213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20591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160165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838377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73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1259792">
    <w:abstractNumId w:val="8"/>
  </w:num>
  <w:num w:numId="29" w16cid:durableId="12431014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5720950">
    <w:abstractNumId w:val="14"/>
  </w:num>
  <w:num w:numId="31" w16cid:durableId="1272476680">
    <w:abstractNumId w:val="28"/>
  </w:num>
  <w:num w:numId="32" w16cid:durableId="938681262">
    <w:abstractNumId w:val="2"/>
  </w:num>
  <w:num w:numId="33" w16cid:durableId="1878589841">
    <w:abstractNumId w:val="5"/>
  </w:num>
  <w:num w:numId="34" w16cid:durableId="1440879488">
    <w:abstractNumId w:val="25"/>
  </w:num>
  <w:num w:numId="35" w16cid:durableId="1184444002">
    <w:abstractNumId w:val="13"/>
  </w:num>
  <w:num w:numId="36" w16cid:durableId="55473547">
    <w:abstractNumId w:val="15"/>
  </w:num>
  <w:num w:numId="37" w16cid:durableId="141940763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842716">
    <w:abstractNumId w:val="37"/>
  </w:num>
  <w:num w:numId="39" w16cid:durableId="10691152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BB"/>
    <w:rsid w:val="0000070E"/>
    <w:rsid w:val="000022A4"/>
    <w:rsid w:val="00007DE8"/>
    <w:rsid w:val="000213D4"/>
    <w:rsid w:val="00045D6F"/>
    <w:rsid w:val="00046DBB"/>
    <w:rsid w:val="000607AC"/>
    <w:rsid w:val="00061105"/>
    <w:rsid w:val="00063808"/>
    <w:rsid w:val="00067609"/>
    <w:rsid w:val="00070DDF"/>
    <w:rsid w:val="00073AC4"/>
    <w:rsid w:val="0007596E"/>
    <w:rsid w:val="00092150"/>
    <w:rsid w:val="000929C5"/>
    <w:rsid w:val="000962A8"/>
    <w:rsid w:val="000A3B33"/>
    <w:rsid w:val="000B1C46"/>
    <w:rsid w:val="000B4BCD"/>
    <w:rsid w:val="000B4C0F"/>
    <w:rsid w:val="000C09C5"/>
    <w:rsid w:val="000C177A"/>
    <w:rsid w:val="000D5CBD"/>
    <w:rsid w:val="000F0C3B"/>
    <w:rsid w:val="000F1C6A"/>
    <w:rsid w:val="000F3F3A"/>
    <w:rsid w:val="000F6525"/>
    <w:rsid w:val="00100C70"/>
    <w:rsid w:val="00102661"/>
    <w:rsid w:val="001247C2"/>
    <w:rsid w:val="00131632"/>
    <w:rsid w:val="00146606"/>
    <w:rsid w:val="00151B3E"/>
    <w:rsid w:val="00163F35"/>
    <w:rsid w:val="001700E1"/>
    <w:rsid w:val="00177058"/>
    <w:rsid w:val="001778E6"/>
    <w:rsid w:val="0018151D"/>
    <w:rsid w:val="00182488"/>
    <w:rsid w:val="00182A46"/>
    <w:rsid w:val="00183D5A"/>
    <w:rsid w:val="001840FE"/>
    <w:rsid w:val="001A13BC"/>
    <w:rsid w:val="001A1C08"/>
    <w:rsid w:val="001A1CC5"/>
    <w:rsid w:val="001A7DAD"/>
    <w:rsid w:val="001B4CF9"/>
    <w:rsid w:val="001C10B4"/>
    <w:rsid w:val="001C2720"/>
    <w:rsid w:val="001C2831"/>
    <w:rsid w:val="001C4CA5"/>
    <w:rsid w:val="001C5367"/>
    <w:rsid w:val="001D2876"/>
    <w:rsid w:val="001E03F4"/>
    <w:rsid w:val="001E2974"/>
    <w:rsid w:val="001E30D5"/>
    <w:rsid w:val="001E311F"/>
    <w:rsid w:val="001F7186"/>
    <w:rsid w:val="00200980"/>
    <w:rsid w:val="00200BC4"/>
    <w:rsid w:val="00205BDF"/>
    <w:rsid w:val="00213668"/>
    <w:rsid w:val="002235B1"/>
    <w:rsid w:val="00226D2E"/>
    <w:rsid w:val="00241B55"/>
    <w:rsid w:val="00276382"/>
    <w:rsid w:val="002919A1"/>
    <w:rsid w:val="00292A64"/>
    <w:rsid w:val="002B0A65"/>
    <w:rsid w:val="002B2ADF"/>
    <w:rsid w:val="002C39F1"/>
    <w:rsid w:val="002C3C9D"/>
    <w:rsid w:val="002D74E1"/>
    <w:rsid w:val="002E561C"/>
    <w:rsid w:val="002E5A81"/>
    <w:rsid w:val="002F6658"/>
    <w:rsid w:val="00303112"/>
    <w:rsid w:val="0030391A"/>
    <w:rsid w:val="00306A44"/>
    <w:rsid w:val="003247CA"/>
    <w:rsid w:val="003337E7"/>
    <w:rsid w:val="00334ECE"/>
    <w:rsid w:val="00340157"/>
    <w:rsid w:val="003434EA"/>
    <w:rsid w:val="00345717"/>
    <w:rsid w:val="0034652D"/>
    <w:rsid w:val="00351E05"/>
    <w:rsid w:val="003657D7"/>
    <w:rsid w:val="00367C51"/>
    <w:rsid w:val="00374C63"/>
    <w:rsid w:val="00384A46"/>
    <w:rsid w:val="003950B3"/>
    <w:rsid w:val="003A0A5D"/>
    <w:rsid w:val="003A23FC"/>
    <w:rsid w:val="003A4626"/>
    <w:rsid w:val="003B25B1"/>
    <w:rsid w:val="003B71E6"/>
    <w:rsid w:val="003C1316"/>
    <w:rsid w:val="003C1B48"/>
    <w:rsid w:val="003D3299"/>
    <w:rsid w:val="003D5D76"/>
    <w:rsid w:val="003E0542"/>
    <w:rsid w:val="003E1E80"/>
    <w:rsid w:val="003F0AB5"/>
    <w:rsid w:val="00400FD0"/>
    <w:rsid w:val="004035CB"/>
    <w:rsid w:val="00405767"/>
    <w:rsid w:val="00411B9F"/>
    <w:rsid w:val="00416A4F"/>
    <w:rsid w:val="0042048D"/>
    <w:rsid w:val="0042280A"/>
    <w:rsid w:val="004318CB"/>
    <w:rsid w:val="004500FB"/>
    <w:rsid w:val="004521E6"/>
    <w:rsid w:val="00456F31"/>
    <w:rsid w:val="00461ADE"/>
    <w:rsid w:val="00464B12"/>
    <w:rsid w:val="0047292E"/>
    <w:rsid w:val="00484252"/>
    <w:rsid w:val="00485AC2"/>
    <w:rsid w:val="004B05A5"/>
    <w:rsid w:val="004C08CA"/>
    <w:rsid w:val="004C1296"/>
    <w:rsid w:val="004C329F"/>
    <w:rsid w:val="004D1987"/>
    <w:rsid w:val="004D726C"/>
    <w:rsid w:val="004F16CA"/>
    <w:rsid w:val="004F5ADD"/>
    <w:rsid w:val="004F5BE0"/>
    <w:rsid w:val="004F7A77"/>
    <w:rsid w:val="00500176"/>
    <w:rsid w:val="00500740"/>
    <w:rsid w:val="005068A5"/>
    <w:rsid w:val="00507F8E"/>
    <w:rsid w:val="00510445"/>
    <w:rsid w:val="00521E38"/>
    <w:rsid w:val="00526AEA"/>
    <w:rsid w:val="00530D7F"/>
    <w:rsid w:val="00530E2D"/>
    <w:rsid w:val="00534BEB"/>
    <w:rsid w:val="00550493"/>
    <w:rsid w:val="00554FF5"/>
    <w:rsid w:val="00557C7F"/>
    <w:rsid w:val="00560FBE"/>
    <w:rsid w:val="005624F1"/>
    <w:rsid w:val="00563522"/>
    <w:rsid w:val="005844A3"/>
    <w:rsid w:val="0059666A"/>
    <w:rsid w:val="005A1127"/>
    <w:rsid w:val="005A7D3D"/>
    <w:rsid w:val="005D7918"/>
    <w:rsid w:val="005E1035"/>
    <w:rsid w:val="005E3242"/>
    <w:rsid w:val="005F418A"/>
    <w:rsid w:val="006008BB"/>
    <w:rsid w:val="00603C10"/>
    <w:rsid w:val="006128D0"/>
    <w:rsid w:val="0062305A"/>
    <w:rsid w:val="0062695B"/>
    <w:rsid w:val="00636E04"/>
    <w:rsid w:val="00637AE1"/>
    <w:rsid w:val="00644468"/>
    <w:rsid w:val="006476B8"/>
    <w:rsid w:val="006478C9"/>
    <w:rsid w:val="0065074F"/>
    <w:rsid w:val="00652FA6"/>
    <w:rsid w:val="00662063"/>
    <w:rsid w:val="00671807"/>
    <w:rsid w:val="00671BA9"/>
    <w:rsid w:val="0067287C"/>
    <w:rsid w:val="00676956"/>
    <w:rsid w:val="00683B40"/>
    <w:rsid w:val="00686464"/>
    <w:rsid w:val="0069299A"/>
    <w:rsid w:val="006933B7"/>
    <w:rsid w:val="006939A9"/>
    <w:rsid w:val="00694F65"/>
    <w:rsid w:val="006B38BD"/>
    <w:rsid w:val="006B782F"/>
    <w:rsid w:val="006C041C"/>
    <w:rsid w:val="006C17C2"/>
    <w:rsid w:val="006C50E5"/>
    <w:rsid w:val="006D069E"/>
    <w:rsid w:val="006E18AF"/>
    <w:rsid w:val="006E527E"/>
    <w:rsid w:val="006E63DE"/>
    <w:rsid w:val="006F48C5"/>
    <w:rsid w:val="006F4F44"/>
    <w:rsid w:val="00701480"/>
    <w:rsid w:val="00707662"/>
    <w:rsid w:val="007079FB"/>
    <w:rsid w:val="0071111E"/>
    <w:rsid w:val="007114C1"/>
    <w:rsid w:val="00713888"/>
    <w:rsid w:val="00713CA0"/>
    <w:rsid w:val="00725111"/>
    <w:rsid w:val="00734784"/>
    <w:rsid w:val="00740D9E"/>
    <w:rsid w:val="007435EF"/>
    <w:rsid w:val="00745BBF"/>
    <w:rsid w:val="007616BE"/>
    <w:rsid w:val="007907F1"/>
    <w:rsid w:val="007977D1"/>
    <w:rsid w:val="007B18CC"/>
    <w:rsid w:val="007B3B68"/>
    <w:rsid w:val="007B444C"/>
    <w:rsid w:val="007B55A4"/>
    <w:rsid w:val="007C1F5C"/>
    <w:rsid w:val="007C7B6B"/>
    <w:rsid w:val="007D412B"/>
    <w:rsid w:val="007E099E"/>
    <w:rsid w:val="007E2826"/>
    <w:rsid w:val="007F33C4"/>
    <w:rsid w:val="007F7101"/>
    <w:rsid w:val="00801A47"/>
    <w:rsid w:val="00811D3A"/>
    <w:rsid w:val="008156F1"/>
    <w:rsid w:val="00816E5C"/>
    <w:rsid w:val="00817D0B"/>
    <w:rsid w:val="008260A0"/>
    <w:rsid w:val="00826D98"/>
    <w:rsid w:val="00835428"/>
    <w:rsid w:val="00843A43"/>
    <w:rsid w:val="00845249"/>
    <w:rsid w:val="00867494"/>
    <w:rsid w:val="00872B2F"/>
    <w:rsid w:val="008730C0"/>
    <w:rsid w:val="00891D12"/>
    <w:rsid w:val="008A0944"/>
    <w:rsid w:val="008A3E68"/>
    <w:rsid w:val="008A62BD"/>
    <w:rsid w:val="008A6941"/>
    <w:rsid w:val="008C206D"/>
    <w:rsid w:val="008D3D07"/>
    <w:rsid w:val="008E076C"/>
    <w:rsid w:val="008E59D3"/>
    <w:rsid w:val="008F5CEA"/>
    <w:rsid w:val="008F7DCB"/>
    <w:rsid w:val="0090466D"/>
    <w:rsid w:val="00916090"/>
    <w:rsid w:val="009168A8"/>
    <w:rsid w:val="009173A3"/>
    <w:rsid w:val="00917C72"/>
    <w:rsid w:val="0092390B"/>
    <w:rsid w:val="00940049"/>
    <w:rsid w:val="009407B1"/>
    <w:rsid w:val="00940938"/>
    <w:rsid w:val="00940AAE"/>
    <w:rsid w:val="0094751B"/>
    <w:rsid w:val="00947EBE"/>
    <w:rsid w:val="00952F7F"/>
    <w:rsid w:val="00970C40"/>
    <w:rsid w:val="00970D93"/>
    <w:rsid w:val="00972EA7"/>
    <w:rsid w:val="00975571"/>
    <w:rsid w:val="009761DF"/>
    <w:rsid w:val="00984013"/>
    <w:rsid w:val="00997317"/>
    <w:rsid w:val="009A54F9"/>
    <w:rsid w:val="009B3BAE"/>
    <w:rsid w:val="009B4C37"/>
    <w:rsid w:val="009B7A28"/>
    <w:rsid w:val="009C1B65"/>
    <w:rsid w:val="009C7B3A"/>
    <w:rsid w:val="009D03CC"/>
    <w:rsid w:val="009D6DF6"/>
    <w:rsid w:val="009E452E"/>
    <w:rsid w:val="009F1A86"/>
    <w:rsid w:val="00A05979"/>
    <w:rsid w:val="00A10290"/>
    <w:rsid w:val="00A11416"/>
    <w:rsid w:val="00A14665"/>
    <w:rsid w:val="00A27FC0"/>
    <w:rsid w:val="00A320AB"/>
    <w:rsid w:val="00A32FAA"/>
    <w:rsid w:val="00A46796"/>
    <w:rsid w:val="00A5497D"/>
    <w:rsid w:val="00A557B6"/>
    <w:rsid w:val="00A56324"/>
    <w:rsid w:val="00A57753"/>
    <w:rsid w:val="00A63729"/>
    <w:rsid w:val="00A647CD"/>
    <w:rsid w:val="00A80F0D"/>
    <w:rsid w:val="00A80FB9"/>
    <w:rsid w:val="00A83071"/>
    <w:rsid w:val="00A90D63"/>
    <w:rsid w:val="00A90D81"/>
    <w:rsid w:val="00A937DB"/>
    <w:rsid w:val="00A94541"/>
    <w:rsid w:val="00AA6939"/>
    <w:rsid w:val="00AB5E00"/>
    <w:rsid w:val="00AB702B"/>
    <w:rsid w:val="00AD6E73"/>
    <w:rsid w:val="00AD712C"/>
    <w:rsid w:val="00AE23EA"/>
    <w:rsid w:val="00AF1FB8"/>
    <w:rsid w:val="00AF2866"/>
    <w:rsid w:val="00B02A0E"/>
    <w:rsid w:val="00B23EA3"/>
    <w:rsid w:val="00B3130F"/>
    <w:rsid w:val="00B32223"/>
    <w:rsid w:val="00B35FCA"/>
    <w:rsid w:val="00B42CEC"/>
    <w:rsid w:val="00B458D3"/>
    <w:rsid w:val="00B46D7C"/>
    <w:rsid w:val="00B47FC6"/>
    <w:rsid w:val="00B5530C"/>
    <w:rsid w:val="00B602F1"/>
    <w:rsid w:val="00B64495"/>
    <w:rsid w:val="00B71D34"/>
    <w:rsid w:val="00B82EBB"/>
    <w:rsid w:val="00B82F45"/>
    <w:rsid w:val="00B92167"/>
    <w:rsid w:val="00B921D6"/>
    <w:rsid w:val="00BA2174"/>
    <w:rsid w:val="00BA251F"/>
    <w:rsid w:val="00BA3081"/>
    <w:rsid w:val="00BB040D"/>
    <w:rsid w:val="00BC4C1C"/>
    <w:rsid w:val="00BD2ABA"/>
    <w:rsid w:val="00BE6282"/>
    <w:rsid w:val="00BF438B"/>
    <w:rsid w:val="00BF6606"/>
    <w:rsid w:val="00C038DC"/>
    <w:rsid w:val="00C0713C"/>
    <w:rsid w:val="00C1638B"/>
    <w:rsid w:val="00C327B4"/>
    <w:rsid w:val="00C32C63"/>
    <w:rsid w:val="00C36EB3"/>
    <w:rsid w:val="00C37FA7"/>
    <w:rsid w:val="00C53023"/>
    <w:rsid w:val="00C53DB1"/>
    <w:rsid w:val="00C53E6D"/>
    <w:rsid w:val="00C60A30"/>
    <w:rsid w:val="00C61FD5"/>
    <w:rsid w:val="00C63A2E"/>
    <w:rsid w:val="00C67503"/>
    <w:rsid w:val="00C755BB"/>
    <w:rsid w:val="00C813ED"/>
    <w:rsid w:val="00CB1858"/>
    <w:rsid w:val="00CC32F8"/>
    <w:rsid w:val="00CC6549"/>
    <w:rsid w:val="00CD5BB2"/>
    <w:rsid w:val="00CE61E4"/>
    <w:rsid w:val="00CF2EEE"/>
    <w:rsid w:val="00CF76D9"/>
    <w:rsid w:val="00D01E05"/>
    <w:rsid w:val="00D10482"/>
    <w:rsid w:val="00D21EE5"/>
    <w:rsid w:val="00D2320A"/>
    <w:rsid w:val="00D316B3"/>
    <w:rsid w:val="00D31EC0"/>
    <w:rsid w:val="00D43AA3"/>
    <w:rsid w:val="00D44EFF"/>
    <w:rsid w:val="00D56611"/>
    <w:rsid w:val="00D72215"/>
    <w:rsid w:val="00D748B5"/>
    <w:rsid w:val="00D75CFD"/>
    <w:rsid w:val="00D83890"/>
    <w:rsid w:val="00D86C0B"/>
    <w:rsid w:val="00D967B4"/>
    <w:rsid w:val="00DA01E3"/>
    <w:rsid w:val="00DC2598"/>
    <w:rsid w:val="00DC5B00"/>
    <w:rsid w:val="00DD3320"/>
    <w:rsid w:val="00DE1E28"/>
    <w:rsid w:val="00DE41D4"/>
    <w:rsid w:val="00DF108E"/>
    <w:rsid w:val="00E11B00"/>
    <w:rsid w:val="00E121BB"/>
    <w:rsid w:val="00E14890"/>
    <w:rsid w:val="00E2251D"/>
    <w:rsid w:val="00E51213"/>
    <w:rsid w:val="00E51585"/>
    <w:rsid w:val="00E551EB"/>
    <w:rsid w:val="00E628DD"/>
    <w:rsid w:val="00E737C3"/>
    <w:rsid w:val="00E73D03"/>
    <w:rsid w:val="00E8713D"/>
    <w:rsid w:val="00E93D9D"/>
    <w:rsid w:val="00EA078B"/>
    <w:rsid w:val="00EB1468"/>
    <w:rsid w:val="00EB6A46"/>
    <w:rsid w:val="00EC2924"/>
    <w:rsid w:val="00EC3748"/>
    <w:rsid w:val="00ED7522"/>
    <w:rsid w:val="00EE304E"/>
    <w:rsid w:val="00EE4727"/>
    <w:rsid w:val="00EE48FF"/>
    <w:rsid w:val="00EE747D"/>
    <w:rsid w:val="00EF417D"/>
    <w:rsid w:val="00F03F29"/>
    <w:rsid w:val="00F11643"/>
    <w:rsid w:val="00F117A7"/>
    <w:rsid w:val="00F262AD"/>
    <w:rsid w:val="00F32FE4"/>
    <w:rsid w:val="00F400F8"/>
    <w:rsid w:val="00F57387"/>
    <w:rsid w:val="00F751C7"/>
    <w:rsid w:val="00F76D92"/>
    <w:rsid w:val="00F772E5"/>
    <w:rsid w:val="00F82ABB"/>
    <w:rsid w:val="00F86006"/>
    <w:rsid w:val="00F86B44"/>
    <w:rsid w:val="00F95B83"/>
    <w:rsid w:val="00FA1BA3"/>
    <w:rsid w:val="00FA5C34"/>
    <w:rsid w:val="00FB2920"/>
    <w:rsid w:val="00FB4865"/>
    <w:rsid w:val="00FC3F45"/>
    <w:rsid w:val="00FD0EFA"/>
    <w:rsid w:val="00FD2795"/>
    <w:rsid w:val="00FD4FAC"/>
    <w:rsid w:val="00FE6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6957"/>
  <w15:docId w15:val="{889432F0-E1E8-42D3-BCAA-C5B5C85C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5CEA"/>
  </w:style>
  <w:style w:type="paragraph" w:styleId="Nagwek2">
    <w:name w:val="heading 2"/>
    <w:basedOn w:val="Normalny"/>
    <w:link w:val="Nagwek2Znak"/>
    <w:uiPriority w:val="9"/>
    <w:qFormat/>
    <w:rsid w:val="002763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unhideWhenUsed/>
    <w:qFormat/>
    <w:rsid w:val="008354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08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08BB"/>
  </w:style>
  <w:style w:type="paragraph" w:styleId="Stopka">
    <w:name w:val="footer"/>
    <w:basedOn w:val="Normalny"/>
    <w:link w:val="StopkaZnak"/>
    <w:uiPriority w:val="99"/>
    <w:unhideWhenUsed/>
    <w:rsid w:val="006008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08BB"/>
  </w:style>
  <w:style w:type="paragraph" w:styleId="Tekstdymka">
    <w:name w:val="Balloon Text"/>
    <w:basedOn w:val="Normalny"/>
    <w:link w:val="TekstdymkaZnak"/>
    <w:uiPriority w:val="99"/>
    <w:semiHidden/>
    <w:unhideWhenUsed/>
    <w:rsid w:val="006008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008BB"/>
    <w:rPr>
      <w:rFonts w:ascii="Tahoma" w:hAnsi="Tahoma" w:cs="Tahoma"/>
      <w:sz w:val="16"/>
      <w:szCs w:val="16"/>
    </w:rPr>
  </w:style>
  <w:style w:type="table" w:styleId="Tabela-Siatka">
    <w:name w:val="Table Grid"/>
    <w:basedOn w:val="Standardowy"/>
    <w:uiPriority w:val="59"/>
    <w:rsid w:val="0006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063808"/>
    <w:rPr>
      <w:color w:val="0000FF"/>
      <w:u w:val="single"/>
    </w:rPr>
  </w:style>
  <w:style w:type="paragraph" w:customStyle="1" w:styleId="Nagwek1">
    <w:name w:val="Nagłówek1"/>
    <w:basedOn w:val="Normalny"/>
    <w:next w:val="Tekstpodstawowy"/>
    <w:rsid w:val="00063808"/>
    <w:pPr>
      <w:keepNext/>
      <w:suppressAutoHyphens/>
      <w:spacing w:before="240" w:after="120"/>
    </w:pPr>
    <w:rPr>
      <w:rFonts w:ascii="Arial" w:eastAsia="Lucida Sans Unicode" w:hAnsi="Arial" w:cs="Tahoma"/>
      <w:sz w:val="28"/>
      <w:szCs w:val="28"/>
      <w:lang w:eastAsia="ar-SA"/>
    </w:rPr>
  </w:style>
  <w:style w:type="paragraph" w:styleId="Tekstpodstawowy">
    <w:name w:val="Body Text"/>
    <w:basedOn w:val="Normalny"/>
    <w:link w:val="TekstpodstawowyZnak"/>
    <w:uiPriority w:val="99"/>
    <w:unhideWhenUsed/>
    <w:rsid w:val="00063808"/>
    <w:pPr>
      <w:spacing w:after="120"/>
    </w:pPr>
  </w:style>
  <w:style w:type="character" w:customStyle="1" w:styleId="TekstpodstawowyZnak">
    <w:name w:val="Tekst podstawowy Znak"/>
    <w:basedOn w:val="Domylnaczcionkaakapitu"/>
    <w:link w:val="Tekstpodstawowy"/>
    <w:uiPriority w:val="99"/>
    <w:rsid w:val="00063808"/>
  </w:style>
  <w:style w:type="paragraph" w:styleId="Akapitzlist">
    <w:name w:val="List Paragraph"/>
    <w:basedOn w:val="Normalny"/>
    <w:uiPriority w:val="34"/>
    <w:qFormat/>
    <w:rsid w:val="001A1C08"/>
    <w:pPr>
      <w:ind w:left="720"/>
      <w:contextualSpacing/>
    </w:pPr>
  </w:style>
  <w:style w:type="paragraph" w:customStyle="1" w:styleId="StandardowyStandardowy1">
    <w:name w:val="Standardowy.Standardowy1"/>
    <w:rsid w:val="00102661"/>
    <w:pPr>
      <w:suppressAutoHyphens/>
      <w:spacing w:after="0" w:line="240" w:lineRule="auto"/>
    </w:pPr>
    <w:rPr>
      <w:rFonts w:ascii="Times New Roman" w:eastAsia="Times New Roman" w:hAnsi="Times New Roman" w:cs="Times New Roman"/>
      <w:sz w:val="24"/>
      <w:szCs w:val="20"/>
      <w:lang w:eastAsia="ar-SA"/>
    </w:rPr>
  </w:style>
  <w:style w:type="character" w:styleId="Pogrubienie">
    <w:name w:val="Strong"/>
    <w:uiPriority w:val="22"/>
    <w:qFormat/>
    <w:rsid w:val="00102661"/>
    <w:rPr>
      <w:b/>
      <w:bCs/>
    </w:rPr>
  </w:style>
  <w:style w:type="character" w:customStyle="1" w:styleId="st">
    <w:name w:val="st"/>
    <w:basedOn w:val="Domylnaczcionkaakapitu"/>
    <w:rsid w:val="00C53E6D"/>
  </w:style>
  <w:style w:type="character" w:styleId="Uwydatnienie">
    <w:name w:val="Emphasis"/>
    <w:basedOn w:val="Domylnaczcionkaakapitu"/>
    <w:qFormat/>
    <w:rsid w:val="00C53E6D"/>
    <w:rPr>
      <w:i/>
      <w:iCs/>
    </w:rPr>
  </w:style>
  <w:style w:type="paragraph" w:styleId="Tekstprzypisukocowego">
    <w:name w:val="endnote text"/>
    <w:basedOn w:val="Normalny"/>
    <w:link w:val="TekstprzypisukocowegoZnak"/>
    <w:uiPriority w:val="99"/>
    <w:semiHidden/>
    <w:unhideWhenUsed/>
    <w:rsid w:val="000022A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22A4"/>
    <w:rPr>
      <w:sz w:val="20"/>
      <w:szCs w:val="20"/>
    </w:rPr>
  </w:style>
  <w:style w:type="character" w:styleId="Odwoanieprzypisukocowego">
    <w:name w:val="endnote reference"/>
    <w:basedOn w:val="Domylnaczcionkaakapitu"/>
    <w:uiPriority w:val="99"/>
    <w:semiHidden/>
    <w:unhideWhenUsed/>
    <w:rsid w:val="000022A4"/>
    <w:rPr>
      <w:vertAlign w:val="superscript"/>
    </w:rPr>
  </w:style>
  <w:style w:type="character" w:customStyle="1" w:styleId="Nagwek2Znak">
    <w:name w:val="Nagłówek 2 Znak"/>
    <w:basedOn w:val="Domylnaczcionkaakapitu"/>
    <w:link w:val="Nagwek2"/>
    <w:uiPriority w:val="9"/>
    <w:rsid w:val="00276382"/>
    <w:rPr>
      <w:rFonts w:ascii="Times New Roman" w:eastAsia="Times New Roman" w:hAnsi="Times New Roman" w:cs="Times New Roman"/>
      <w:b/>
      <w:bCs/>
      <w:sz w:val="36"/>
      <w:szCs w:val="36"/>
    </w:rPr>
  </w:style>
  <w:style w:type="paragraph" w:styleId="NormalnyWeb">
    <w:name w:val="Normal (Web)"/>
    <w:basedOn w:val="Normalny"/>
    <w:uiPriority w:val="99"/>
    <w:unhideWhenUsed/>
    <w:rsid w:val="002D7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tle">
    <w:name w:val="articletitle"/>
    <w:basedOn w:val="Domylnaczcionkaakapitu"/>
    <w:rsid w:val="00734784"/>
  </w:style>
  <w:style w:type="character" w:customStyle="1" w:styleId="Nagwek3Znak">
    <w:name w:val="Nagłówek 3 Znak"/>
    <w:basedOn w:val="Domylnaczcionkaakapitu"/>
    <w:link w:val="Nagwek3"/>
    <w:uiPriority w:val="9"/>
    <w:rsid w:val="00835428"/>
    <w:rPr>
      <w:rFonts w:asciiTheme="majorHAnsi" w:eastAsiaTheme="majorEastAsia" w:hAnsiTheme="majorHAnsi" w:cstheme="majorBidi"/>
      <w:color w:val="243F60" w:themeColor="accent1" w:themeShade="7F"/>
      <w:sz w:val="24"/>
      <w:szCs w:val="24"/>
    </w:rPr>
  </w:style>
  <w:style w:type="paragraph" w:customStyle="1" w:styleId="naglowekcenter">
    <w:name w:val="naglowek_center"/>
    <w:basedOn w:val="Normalny"/>
    <w:rsid w:val="00835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label">
    <w:name w:val="ad-label"/>
    <w:basedOn w:val="Domylnaczcionkaakapitu"/>
    <w:rsid w:val="00400FD0"/>
  </w:style>
  <w:style w:type="character" w:styleId="Odwoaniedokomentarza">
    <w:name w:val="annotation reference"/>
    <w:basedOn w:val="Domylnaczcionkaakapitu"/>
    <w:uiPriority w:val="99"/>
    <w:semiHidden/>
    <w:unhideWhenUsed/>
    <w:rsid w:val="008F7DCB"/>
    <w:rPr>
      <w:sz w:val="16"/>
      <w:szCs w:val="16"/>
    </w:rPr>
  </w:style>
  <w:style w:type="paragraph" w:styleId="Tekstkomentarza">
    <w:name w:val="annotation text"/>
    <w:basedOn w:val="Normalny"/>
    <w:link w:val="TekstkomentarzaZnak"/>
    <w:uiPriority w:val="99"/>
    <w:semiHidden/>
    <w:unhideWhenUsed/>
    <w:rsid w:val="008F7D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7DCB"/>
    <w:rPr>
      <w:sz w:val="20"/>
      <w:szCs w:val="20"/>
    </w:rPr>
  </w:style>
  <w:style w:type="paragraph" w:styleId="Tematkomentarza">
    <w:name w:val="annotation subject"/>
    <w:basedOn w:val="Tekstkomentarza"/>
    <w:next w:val="Tekstkomentarza"/>
    <w:link w:val="TematkomentarzaZnak"/>
    <w:uiPriority w:val="99"/>
    <w:semiHidden/>
    <w:unhideWhenUsed/>
    <w:rsid w:val="008F7DCB"/>
    <w:rPr>
      <w:b/>
      <w:bCs/>
    </w:rPr>
  </w:style>
  <w:style w:type="character" w:customStyle="1" w:styleId="TematkomentarzaZnak">
    <w:name w:val="Temat komentarza Znak"/>
    <w:basedOn w:val="TekstkomentarzaZnak"/>
    <w:link w:val="Tematkomentarza"/>
    <w:uiPriority w:val="99"/>
    <w:semiHidden/>
    <w:rsid w:val="008F7DCB"/>
    <w:rPr>
      <w:b/>
      <w:bCs/>
      <w:sz w:val="20"/>
      <w:szCs w:val="20"/>
    </w:rPr>
  </w:style>
  <w:style w:type="paragraph" w:customStyle="1" w:styleId="Standard">
    <w:name w:val="Standard"/>
    <w:rsid w:val="000C177A"/>
    <w:pPr>
      <w:suppressAutoHyphens/>
      <w:autoSpaceDN w:val="0"/>
    </w:pPr>
    <w:rPr>
      <w:rFonts w:ascii="Calibri" w:eastAsia="SimSun" w:hAnsi="Calibri" w:cs="F"/>
      <w:kern w:val="3"/>
    </w:rPr>
  </w:style>
  <w:style w:type="character" w:customStyle="1" w:styleId="hgkelc">
    <w:name w:val="hgkelc"/>
    <w:basedOn w:val="Domylnaczcionkaakapitu"/>
    <w:rsid w:val="00183D5A"/>
  </w:style>
  <w:style w:type="character" w:customStyle="1" w:styleId="ng-scope">
    <w:name w:val="ng-scope"/>
    <w:basedOn w:val="Domylnaczcionkaakapitu"/>
    <w:rsid w:val="00DE1E28"/>
  </w:style>
  <w:style w:type="character" w:customStyle="1" w:styleId="ng-binding">
    <w:name w:val="ng-binding"/>
    <w:basedOn w:val="Domylnaczcionkaakapitu"/>
    <w:rsid w:val="00DE1E28"/>
  </w:style>
  <w:style w:type="character" w:customStyle="1" w:styleId="alb-s">
    <w:name w:val="a_lb-s"/>
    <w:basedOn w:val="Domylnaczcionkaakapitu"/>
    <w:rsid w:val="00DE1E28"/>
  </w:style>
  <w:style w:type="paragraph" w:customStyle="1" w:styleId="Textbody">
    <w:name w:val="Text body"/>
    <w:basedOn w:val="Standard"/>
    <w:rsid w:val="003950B3"/>
    <w:pPr>
      <w:widowControl w:val="0"/>
      <w:spacing w:after="120" w:line="240" w:lineRule="auto"/>
      <w:textAlignment w:val="baseline"/>
    </w:pPr>
    <w:rPr>
      <w:rFonts w:ascii="Times New Roman" w:hAnsi="Times New Roman" w:cs="Arial"/>
      <w:sz w:val="24"/>
      <w:szCs w:val="24"/>
      <w:lang w:eastAsia="zh-CN" w:bidi="hi-IN"/>
    </w:rPr>
  </w:style>
  <w:style w:type="character" w:styleId="Nierozpoznanawzmianka">
    <w:name w:val="Unresolved Mention"/>
    <w:basedOn w:val="Domylnaczcionkaakapitu"/>
    <w:uiPriority w:val="99"/>
    <w:semiHidden/>
    <w:unhideWhenUsed/>
    <w:rsid w:val="00177058"/>
    <w:rPr>
      <w:color w:val="605E5C"/>
      <w:shd w:val="clear" w:color="auto" w:fill="E1DFDD"/>
    </w:rPr>
  </w:style>
  <w:style w:type="character" w:customStyle="1" w:styleId="TekstprzypisudolnegoZnak">
    <w:name w:val="Tekst przypisu dolnego Znak"/>
    <w:aliases w:val="fn Znak,Znak Znak Znak Znak,Znak Znak Znak1,Podrozdział Znak,Schriftart: 9 pt Znak,Schriftart: 10 pt Znak,Schriftart: 8 pt Znak,WB-Fußnotentext Znak,Schriftart Znak,9 pt Znak,10 pt Znak,8 pt Znak,Footnote Znak"/>
    <w:basedOn w:val="Domylnaczcionkaakapitu"/>
    <w:link w:val="Tekstprzypisudolnego"/>
    <w:uiPriority w:val="99"/>
    <w:semiHidden/>
    <w:locked/>
    <w:rsid w:val="00816E5C"/>
    <w:rPr>
      <w:rFonts w:ascii="Arial" w:eastAsia="Calibri" w:hAnsi="Arial" w:cs="Times New Roman"/>
      <w:sz w:val="20"/>
      <w:szCs w:val="20"/>
    </w:rPr>
  </w:style>
  <w:style w:type="paragraph" w:styleId="Tekstprzypisudolnego">
    <w:name w:val="footnote text"/>
    <w:aliases w:val="fn,Znak Znak Znak,Znak Znak,Podrozdział,Schriftart: 9 pt,Schriftart: 10 pt,Schriftart: 8 pt,WB-Fußnotentext,Schriftart,9 pt,10 pt,8 pt,Footnote,Podrozdzia3,-E Fuﬂnotentext,Fuﬂnotentext Ursprung"/>
    <w:basedOn w:val="Normalny"/>
    <w:link w:val="TekstprzypisudolnegoZnak"/>
    <w:uiPriority w:val="99"/>
    <w:semiHidden/>
    <w:unhideWhenUsed/>
    <w:qFormat/>
    <w:rsid w:val="00816E5C"/>
    <w:pPr>
      <w:spacing w:after="0" w:line="240" w:lineRule="auto"/>
    </w:pPr>
    <w:rPr>
      <w:rFonts w:ascii="Arial" w:eastAsia="Calibri" w:hAnsi="Arial" w:cs="Times New Roman"/>
      <w:sz w:val="20"/>
      <w:szCs w:val="20"/>
    </w:rPr>
  </w:style>
  <w:style w:type="character" w:customStyle="1" w:styleId="TekstprzypisudolnegoZnak1">
    <w:name w:val="Tekst przypisu dolnego Znak1"/>
    <w:basedOn w:val="Domylnaczcionkaakapitu"/>
    <w:uiPriority w:val="99"/>
    <w:semiHidden/>
    <w:rsid w:val="00816E5C"/>
    <w:rPr>
      <w:sz w:val="20"/>
      <w:szCs w:val="20"/>
    </w:rPr>
  </w:style>
  <w:style w:type="character" w:styleId="Odwoanieprzypisudolnego">
    <w:name w:val="footnote reference"/>
    <w:aliases w:val="FZ,Footnote Reference Number,Odwołanie przypisu"/>
    <w:basedOn w:val="Domylnaczcionkaakapitu"/>
    <w:uiPriority w:val="99"/>
    <w:semiHidden/>
    <w:unhideWhenUsed/>
    <w:rsid w:val="00816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4887">
      <w:bodyDiv w:val="1"/>
      <w:marLeft w:val="0"/>
      <w:marRight w:val="0"/>
      <w:marTop w:val="0"/>
      <w:marBottom w:val="0"/>
      <w:divBdr>
        <w:top w:val="none" w:sz="0" w:space="0" w:color="auto"/>
        <w:left w:val="none" w:sz="0" w:space="0" w:color="auto"/>
        <w:bottom w:val="none" w:sz="0" w:space="0" w:color="auto"/>
        <w:right w:val="none" w:sz="0" w:space="0" w:color="auto"/>
      </w:divBdr>
    </w:div>
    <w:div w:id="285545862">
      <w:bodyDiv w:val="1"/>
      <w:marLeft w:val="0"/>
      <w:marRight w:val="0"/>
      <w:marTop w:val="0"/>
      <w:marBottom w:val="0"/>
      <w:divBdr>
        <w:top w:val="none" w:sz="0" w:space="0" w:color="auto"/>
        <w:left w:val="none" w:sz="0" w:space="0" w:color="auto"/>
        <w:bottom w:val="none" w:sz="0" w:space="0" w:color="auto"/>
        <w:right w:val="none" w:sz="0" w:space="0" w:color="auto"/>
      </w:divBdr>
    </w:div>
    <w:div w:id="447510080">
      <w:bodyDiv w:val="1"/>
      <w:marLeft w:val="0"/>
      <w:marRight w:val="0"/>
      <w:marTop w:val="0"/>
      <w:marBottom w:val="0"/>
      <w:divBdr>
        <w:top w:val="none" w:sz="0" w:space="0" w:color="auto"/>
        <w:left w:val="none" w:sz="0" w:space="0" w:color="auto"/>
        <w:bottom w:val="none" w:sz="0" w:space="0" w:color="auto"/>
        <w:right w:val="none" w:sz="0" w:space="0" w:color="auto"/>
      </w:divBdr>
    </w:div>
    <w:div w:id="567767348">
      <w:bodyDiv w:val="1"/>
      <w:marLeft w:val="0"/>
      <w:marRight w:val="0"/>
      <w:marTop w:val="0"/>
      <w:marBottom w:val="0"/>
      <w:divBdr>
        <w:top w:val="none" w:sz="0" w:space="0" w:color="auto"/>
        <w:left w:val="none" w:sz="0" w:space="0" w:color="auto"/>
        <w:bottom w:val="none" w:sz="0" w:space="0" w:color="auto"/>
        <w:right w:val="none" w:sz="0" w:space="0" w:color="auto"/>
      </w:divBdr>
      <w:divsChild>
        <w:div w:id="924460883">
          <w:marLeft w:val="0"/>
          <w:marRight w:val="0"/>
          <w:marTop w:val="0"/>
          <w:marBottom w:val="0"/>
          <w:divBdr>
            <w:top w:val="none" w:sz="0" w:space="0" w:color="auto"/>
            <w:left w:val="none" w:sz="0" w:space="0" w:color="auto"/>
            <w:bottom w:val="none" w:sz="0" w:space="0" w:color="auto"/>
            <w:right w:val="none" w:sz="0" w:space="0" w:color="auto"/>
          </w:divBdr>
        </w:div>
      </w:divsChild>
    </w:div>
    <w:div w:id="577859381">
      <w:bodyDiv w:val="1"/>
      <w:marLeft w:val="0"/>
      <w:marRight w:val="0"/>
      <w:marTop w:val="0"/>
      <w:marBottom w:val="0"/>
      <w:divBdr>
        <w:top w:val="none" w:sz="0" w:space="0" w:color="auto"/>
        <w:left w:val="none" w:sz="0" w:space="0" w:color="auto"/>
        <w:bottom w:val="none" w:sz="0" w:space="0" w:color="auto"/>
        <w:right w:val="none" w:sz="0" w:space="0" w:color="auto"/>
      </w:divBdr>
    </w:div>
    <w:div w:id="642664452">
      <w:bodyDiv w:val="1"/>
      <w:marLeft w:val="0"/>
      <w:marRight w:val="0"/>
      <w:marTop w:val="0"/>
      <w:marBottom w:val="0"/>
      <w:divBdr>
        <w:top w:val="none" w:sz="0" w:space="0" w:color="auto"/>
        <w:left w:val="none" w:sz="0" w:space="0" w:color="auto"/>
        <w:bottom w:val="none" w:sz="0" w:space="0" w:color="auto"/>
        <w:right w:val="none" w:sz="0" w:space="0" w:color="auto"/>
      </w:divBdr>
      <w:divsChild>
        <w:div w:id="903298307">
          <w:marLeft w:val="0"/>
          <w:marRight w:val="0"/>
          <w:marTop w:val="150"/>
          <w:marBottom w:val="168"/>
          <w:divBdr>
            <w:top w:val="none" w:sz="0" w:space="0" w:color="auto"/>
            <w:left w:val="none" w:sz="0" w:space="0" w:color="auto"/>
            <w:bottom w:val="none" w:sz="0" w:space="0" w:color="auto"/>
            <w:right w:val="none" w:sz="0" w:space="0" w:color="auto"/>
          </w:divBdr>
        </w:div>
        <w:div w:id="620189944">
          <w:marLeft w:val="0"/>
          <w:marRight w:val="0"/>
          <w:marTop w:val="0"/>
          <w:marBottom w:val="0"/>
          <w:divBdr>
            <w:top w:val="none" w:sz="0" w:space="0" w:color="auto"/>
            <w:left w:val="none" w:sz="0" w:space="0" w:color="auto"/>
            <w:bottom w:val="none" w:sz="0" w:space="0" w:color="auto"/>
            <w:right w:val="none" w:sz="0" w:space="0" w:color="auto"/>
          </w:divBdr>
        </w:div>
        <w:div w:id="1235552461">
          <w:marLeft w:val="0"/>
          <w:marRight w:val="0"/>
          <w:marTop w:val="0"/>
          <w:marBottom w:val="0"/>
          <w:divBdr>
            <w:top w:val="none" w:sz="0" w:space="0" w:color="auto"/>
            <w:left w:val="none" w:sz="0" w:space="0" w:color="auto"/>
            <w:bottom w:val="none" w:sz="0" w:space="0" w:color="auto"/>
            <w:right w:val="none" w:sz="0" w:space="0" w:color="auto"/>
          </w:divBdr>
        </w:div>
      </w:divsChild>
    </w:div>
    <w:div w:id="670060479">
      <w:bodyDiv w:val="1"/>
      <w:marLeft w:val="0"/>
      <w:marRight w:val="0"/>
      <w:marTop w:val="0"/>
      <w:marBottom w:val="0"/>
      <w:divBdr>
        <w:top w:val="none" w:sz="0" w:space="0" w:color="auto"/>
        <w:left w:val="none" w:sz="0" w:space="0" w:color="auto"/>
        <w:bottom w:val="none" w:sz="0" w:space="0" w:color="auto"/>
        <w:right w:val="none" w:sz="0" w:space="0" w:color="auto"/>
      </w:divBdr>
      <w:divsChild>
        <w:div w:id="791291694">
          <w:marLeft w:val="0"/>
          <w:marRight w:val="0"/>
          <w:marTop w:val="0"/>
          <w:marBottom w:val="0"/>
          <w:divBdr>
            <w:top w:val="none" w:sz="0" w:space="0" w:color="auto"/>
            <w:left w:val="none" w:sz="0" w:space="0" w:color="auto"/>
            <w:bottom w:val="none" w:sz="0" w:space="0" w:color="auto"/>
            <w:right w:val="none" w:sz="0" w:space="0" w:color="auto"/>
          </w:divBdr>
        </w:div>
        <w:div w:id="605846293">
          <w:marLeft w:val="0"/>
          <w:marRight w:val="0"/>
          <w:marTop w:val="0"/>
          <w:marBottom w:val="0"/>
          <w:divBdr>
            <w:top w:val="none" w:sz="0" w:space="0" w:color="auto"/>
            <w:left w:val="none" w:sz="0" w:space="0" w:color="auto"/>
            <w:bottom w:val="none" w:sz="0" w:space="0" w:color="auto"/>
            <w:right w:val="none" w:sz="0" w:space="0" w:color="auto"/>
          </w:divBdr>
        </w:div>
        <w:div w:id="928851876">
          <w:marLeft w:val="0"/>
          <w:marRight w:val="0"/>
          <w:marTop w:val="0"/>
          <w:marBottom w:val="0"/>
          <w:divBdr>
            <w:top w:val="none" w:sz="0" w:space="0" w:color="auto"/>
            <w:left w:val="none" w:sz="0" w:space="0" w:color="auto"/>
            <w:bottom w:val="none" w:sz="0" w:space="0" w:color="auto"/>
            <w:right w:val="none" w:sz="0" w:space="0" w:color="auto"/>
          </w:divBdr>
          <w:divsChild>
            <w:div w:id="1918320569">
              <w:marLeft w:val="0"/>
              <w:marRight w:val="0"/>
              <w:marTop w:val="0"/>
              <w:marBottom w:val="225"/>
              <w:divBdr>
                <w:top w:val="none" w:sz="0" w:space="0" w:color="auto"/>
                <w:left w:val="none" w:sz="0" w:space="0" w:color="auto"/>
                <w:bottom w:val="none" w:sz="0" w:space="0" w:color="auto"/>
                <w:right w:val="none" w:sz="0" w:space="0" w:color="auto"/>
              </w:divBdr>
            </w:div>
          </w:divsChild>
        </w:div>
        <w:div w:id="601110468">
          <w:marLeft w:val="0"/>
          <w:marRight w:val="0"/>
          <w:marTop w:val="0"/>
          <w:marBottom w:val="0"/>
          <w:divBdr>
            <w:top w:val="none" w:sz="0" w:space="0" w:color="auto"/>
            <w:left w:val="none" w:sz="0" w:space="0" w:color="auto"/>
            <w:bottom w:val="none" w:sz="0" w:space="0" w:color="auto"/>
            <w:right w:val="none" w:sz="0" w:space="0" w:color="auto"/>
          </w:divBdr>
          <w:divsChild>
            <w:div w:id="1175537967">
              <w:marLeft w:val="0"/>
              <w:marRight w:val="0"/>
              <w:marTop w:val="0"/>
              <w:marBottom w:val="225"/>
              <w:divBdr>
                <w:top w:val="none" w:sz="0" w:space="0" w:color="auto"/>
                <w:left w:val="none" w:sz="0" w:space="0" w:color="auto"/>
                <w:bottom w:val="none" w:sz="0" w:space="0" w:color="auto"/>
                <w:right w:val="none" w:sz="0" w:space="0" w:color="auto"/>
              </w:divBdr>
            </w:div>
          </w:divsChild>
        </w:div>
        <w:div w:id="57628783">
          <w:marLeft w:val="0"/>
          <w:marRight w:val="0"/>
          <w:marTop w:val="0"/>
          <w:marBottom w:val="0"/>
          <w:divBdr>
            <w:top w:val="none" w:sz="0" w:space="0" w:color="auto"/>
            <w:left w:val="none" w:sz="0" w:space="0" w:color="auto"/>
            <w:bottom w:val="none" w:sz="0" w:space="0" w:color="auto"/>
            <w:right w:val="none" w:sz="0" w:space="0" w:color="auto"/>
          </w:divBdr>
          <w:divsChild>
            <w:div w:id="1839038249">
              <w:marLeft w:val="0"/>
              <w:marRight w:val="0"/>
              <w:marTop w:val="0"/>
              <w:marBottom w:val="225"/>
              <w:divBdr>
                <w:top w:val="none" w:sz="0" w:space="0" w:color="auto"/>
                <w:left w:val="none" w:sz="0" w:space="0" w:color="auto"/>
                <w:bottom w:val="none" w:sz="0" w:space="0" w:color="auto"/>
                <w:right w:val="none" w:sz="0" w:space="0" w:color="auto"/>
              </w:divBdr>
            </w:div>
          </w:divsChild>
        </w:div>
        <w:div w:id="1562986807">
          <w:marLeft w:val="0"/>
          <w:marRight w:val="0"/>
          <w:marTop w:val="0"/>
          <w:marBottom w:val="0"/>
          <w:divBdr>
            <w:top w:val="none" w:sz="0" w:space="0" w:color="auto"/>
            <w:left w:val="none" w:sz="0" w:space="0" w:color="auto"/>
            <w:bottom w:val="none" w:sz="0" w:space="0" w:color="auto"/>
            <w:right w:val="none" w:sz="0" w:space="0" w:color="auto"/>
          </w:divBdr>
          <w:divsChild>
            <w:div w:id="1106196580">
              <w:marLeft w:val="0"/>
              <w:marRight w:val="0"/>
              <w:marTop w:val="0"/>
              <w:marBottom w:val="225"/>
              <w:divBdr>
                <w:top w:val="none" w:sz="0" w:space="0" w:color="auto"/>
                <w:left w:val="none" w:sz="0" w:space="0" w:color="auto"/>
                <w:bottom w:val="none" w:sz="0" w:space="0" w:color="auto"/>
                <w:right w:val="none" w:sz="0" w:space="0" w:color="auto"/>
              </w:divBdr>
            </w:div>
          </w:divsChild>
        </w:div>
        <w:div w:id="1344866055">
          <w:marLeft w:val="0"/>
          <w:marRight w:val="0"/>
          <w:marTop w:val="0"/>
          <w:marBottom w:val="0"/>
          <w:divBdr>
            <w:top w:val="none" w:sz="0" w:space="0" w:color="auto"/>
            <w:left w:val="none" w:sz="0" w:space="0" w:color="auto"/>
            <w:bottom w:val="none" w:sz="0" w:space="0" w:color="auto"/>
            <w:right w:val="none" w:sz="0" w:space="0" w:color="auto"/>
          </w:divBdr>
        </w:div>
        <w:div w:id="1816215641">
          <w:marLeft w:val="0"/>
          <w:marRight w:val="0"/>
          <w:marTop w:val="0"/>
          <w:marBottom w:val="0"/>
          <w:divBdr>
            <w:top w:val="none" w:sz="0" w:space="0" w:color="auto"/>
            <w:left w:val="none" w:sz="0" w:space="0" w:color="auto"/>
            <w:bottom w:val="none" w:sz="0" w:space="0" w:color="auto"/>
            <w:right w:val="none" w:sz="0" w:space="0" w:color="auto"/>
          </w:divBdr>
          <w:divsChild>
            <w:div w:id="7002029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0907641">
      <w:bodyDiv w:val="1"/>
      <w:marLeft w:val="0"/>
      <w:marRight w:val="0"/>
      <w:marTop w:val="0"/>
      <w:marBottom w:val="0"/>
      <w:divBdr>
        <w:top w:val="none" w:sz="0" w:space="0" w:color="auto"/>
        <w:left w:val="none" w:sz="0" w:space="0" w:color="auto"/>
        <w:bottom w:val="none" w:sz="0" w:space="0" w:color="auto"/>
        <w:right w:val="none" w:sz="0" w:space="0" w:color="auto"/>
      </w:divBdr>
    </w:div>
    <w:div w:id="671106335">
      <w:bodyDiv w:val="1"/>
      <w:marLeft w:val="0"/>
      <w:marRight w:val="0"/>
      <w:marTop w:val="0"/>
      <w:marBottom w:val="0"/>
      <w:divBdr>
        <w:top w:val="none" w:sz="0" w:space="0" w:color="auto"/>
        <w:left w:val="none" w:sz="0" w:space="0" w:color="auto"/>
        <w:bottom w:val="none" w:sz="0" w:space="0" w:color="auto"/>
        <w:right w:val="none" w:sz="0" w:space="0" w:color="auto"/>
      </w:divBdr>
      <w:divsChild>
        <w:div w:id="417168507">
          <w:marLeft w:val="0"/>
          <w:marRight w:val="0"/>
          <w:marTop w:val="0"/>
          <w:marBottom w:val="0"/>
          <w:divBdr>
            <w:top w:val="none" w:sz="0" w:space="0" w:color="auto"/>
            <w:left w:val="none" w:sz="0" w:space="0" w:color="auto"/>
            <w:bottom w:val="none" w:sz="0" w:space="0" w:color="auto"/>
            <w:right w:val="none" w:sz="0" w:space="0" w:color="auto"/>
          </w:divBdr>
        </w:div>
        <w:div w:id="659038425">
          <w:marLeft w:val="0"/>
          <w:marRight w:val="0"/>
          <w:marTop w:val="0"/>
          <w:marBottom w:val="0"/>
          <w:divBdr>
            <w:top w:val="none" w:sz="0" w:space="0" w:color="auto"/>
            <w:left w:val="none" w:sz="0" w:space="0" w:color="auto"/>
            <w:bottom w:val="none" w:sz="0" w:space="0" w:color="auto"/>
            <w:right w:val="none" w:sz="0" w:space="0" w:color="auto"/>
          </w:divBdr>
        </w:div>
        <w:div w:id="874540356">
          <w:marLeft w:val="0"/>
          <w:marRight w:val="0"/>
          <w:marTop w:val="0"/>
          <w:marBottom w:val="0"/>
          <w:divBdr>
            <w:top w:val="none" w:sz="0" w:space="0" w:color="auto"/>
            <w:left w:val="none" w:sz="0" w:space="0" w:color="auto"/>
            <w:bottom w:val="none" w:sz="0" w:space="0" w:color="auto"/>
            <w:right w:val="none" w:sz="0" w:space="0" w:color="auto"/>
          </w:divBdr>
        </w:div>
        <w:div w:id="1965425911">
          <w:marLeft w:val="0"/>
          <w:marRight w:val="0"/>
          <w:marTop w:val="0"/>
          <w:marBottom w:val="0"/>
          <w:divBdr>
            <w:top w:val="none" w:sz="0" w:space="0" w:color="auto"/>
            <w:left w:val="none" w:sz="0" w:space="0" w:color="auto"/>
            <w:bottom w:val="none" w:sz="0" w:space="0" w:color="auto"/>
            <w:right w:val="none" w:sz="0" w:space="0" w:color="auto"/>
          </w:divBdr>
        </w:div>
        <w:div w:id="319038849">
          <w:marLeft w:val="0"/>
          <w:marRight w:val="0"/>
          <w:marTop w:val="0"/>
          <w:marBottom w:val="0"/>
          <w:divBdr>
            <w:top w:val="none" w:sz="0" w:space="0" w:color="auto"/>
            <w:left w:val="none" w:sz="0" w:space="0" w:color="auto"/>
            <w:bottom w:val="none" w:sz="0" w:space="0" w:color="auto"/>
            <w:right w:val="none" w:sz="0" w:space="0" w:color="auto"/>
          </w:divBdr>
        </w:div>
        <w:div w:id="1692336352">
          <w:marLeft w:val="0"/>
          <w:marRight w:val="0"/>
          <w:marTop w:val="0"/>
          <w:marBottom w:val="0"/>
          <w:divBdr>
            <w:top w:val="none" w:sz="0" w:space="0" w:color="auto"/>
            <w:left w:val="none" w:sz="0" w:space="0" w:color="auto"/>
            <w:bottom w:val="none" w:sz="0" w:space="0" w:color="auto"/>
            <w:right w:val="none" w:sz="0" w:space="0" w:color="auto"/>
          </w:divBdr>
        </w:div>
        <w:div w:id="541596187">
          <w:marLeft w:val="0"/>
          <w:marRight w:val="0"/>
          <w:marTop w:val="0"/>
          <w:marBottom w:val="0"/>
          <w:divBdr>
            <w:top w:val="none" w:sz="0" w:space="0" w:color="auto"/>
            <w:left w:val="none" w:sz="0" w:space="0" w:color="auto"/>
            <w:bottom w:val="none" w:sz="0" w:space="0" w:color="auto"/>
            <w:right w:val="none" w:sz="0" w:space="0" w:color="auto"/>
          </w:divBdr>
        </w:div>
        <w:div w:id="283270884">
          <w:marLeft w:val="0"/>
          <w:marRight w:val="0"/>
          <w:marTop w:val="0"/>
          <w:marBottom w:val="0"/>
          <w:divBdr>
            <w:top w:val="none" w:sz="0" w:space="0" w:color="auto"/>
            <w:left w:val="none" w:sz="0" w:space="0" w:color="auto"/>
            <w:bottom w:val="none" w:sz="0" w:space="0" w:color="auto"/>
            <w:right w:val="none" w:sz="0" w:space="0" w:color="auto"/>
          </w:divBdr>
        </w:div>
        <w:div w:id="1925531413">
          <w:marLeft w:val="0"/>
          <w:marRight w:val="0"/>
          <w:marTop w:val="0"/>
          <w:marBottom w:val="0"/>
          <w:divBdr>
            <w:top w:val="none" w:sz="0" w:space="0" w:color="auto"/>
            <w:left w:val="none" w:sz="0" w:space="0" w:color="auto"/>
            <w:bottom w:val="none" w:sz="0" w:space="0" w:color="auto"/>
            <w:right w:val="none" w:sz="0" w:space="0" w:color="auto"/>
          </w:divBdr>
        </w:div>
        <w:div w:id="549464919">
          <w:marLeft w:val="0"/>
          <w:marRight w:val="0"/>
          <w:marTop w:val="0"/>
          <w:marBottom w:val="0"/>
          <w:divBdr>
            <w:top w:val="none" w:sz="0" w:space="0" w:color="auto"/>
            <w:left w:val="none" w:sz="0" w:space="0" w:color="auto"/>
            <w:bottom w:val="none" w:sz="0" w:space="0" w:color="auto"/>
            <w:right w:val="none" w:sz="0" w:space="0" w:color="auto"/>
          </w:divBdr>
        </w:div>
        <w:div w:id="929312066">
          <w:marLeft w:val="0"/>
          <w:marRight w:val="0"/>
          <w:marTop w:val="0"/>
          <w:marBottom w:val="0"/>
          <w:divBdr>
            <w:top w:val="none" w:sz="0" w:space="0" w:color="auto"/>
            <w:left w:val="none" w:sz="0" w:space="0" w:color="auto"/>
            <w:bottom w:val="none" w:sz="0" w:space="0" w:color="auto"/>
            <w:right w:val="none" w:sz="0" w:space="0" w:color="auto"/>
          </w:divBdr>
        </w:div>
        <w:div w:id="1334526227">
          <w:marLeft w:val="0"/>
          <w:marRight w:val="0"/>
          <w:marTop w:val="0"/>
          <w:marBottom w:val="0"/>
          <w:divBdr>
            <w:top w:val="none" w:sz="0" w:space="0" w:color="auto"/>
            <w:left w:val="none" w:sz="0" w:space="0" w:color="auto"/>
            <w:bottom w:val="none" w:sz="0" w:space="0" w:color="auto"/>
            <w:right w:val="none" w:sz="0" w:space="0" w:color="auto"/>
          </w:divBdr>
        </w:div>
        <w:div w:id="27804345">
          <w:marLeft w:val="0"/>
          <w:marRight w:val="0"/>
          <w:marTop w:val="0"/>
          <w:marBottom w:val="0"/>
          <w:divBdr>
            <w:top w:val="none" w:sz="0" w:space="0" w:color="auto"/>
            <w:left w:val="none" w:sz="0" w:space="0" w:color="auto"/>
            <w:bottom w:val="none" w:sz="0" w:space="0" w:color="auto"/>
            <w:right w:val="none" w:sz="0" w:space="0" w:color="auto"/>
          </w:divBdr>
        </w:div>
        <w:div w:id="1008488682">
          <w:marLeft w:val="0"/>
          <w:marRight w:val="0"/>
          <w:marTop w:val="0"/>
          <w:marBottom w:val="0"/>
          <w:divBdr>
            <w:top w:val="none" w:sz="0" w:space="0" w:color="auto"/>
            <w:left w:val="none" w:sz="0" w:space="0" w:color="auto"/>
            <w:bottom w:val="none" w:sz="0" w:space="0" w:color="auto"/>
            <w:right w:val="none" w:sz="0" w:space="0" w:color="auto"/>
          </w:divBdr>
        </w:div>
        <w:div w:id="1088817033">
          <w:marLeft w:val="0"/>
          <w:marRight w:val="0"/>
          <w:marTop w:val="0"/>
          <w:marBottom w:val="0"/>
          <w:divBdr>
            <w:top w:val="none" w:sz="0" w:space="0" w:color="auto"/>
            <w:left w:val="none" w:sz="0" w:space="0" w:color="auto"/>
            <w:bottom w:val="none" w:sz="0" w:space="0" w:color="auto"/>
            <w:right w:val="none" w:sz="0" w:space="0" w:color="auto"/>
          </w:divBdr>
        </w:div>
      </w:divsChild>
    </w:div>
    <w:div w:id="850223892">
      <w:bodyDiv w:val="1"/>
      <w:marLeft w:val="0"/>
      <w:marRight w:val="0"/>
      <w:marTop w:val="0"/>
      <w:marBottom w:val="0"/>
      <w:divBdr>
        <w:top w:val="none" w:sz="0" w:space="0" w:color="auto"/>
        <w:left w:val="none" w:sz="0" w:space="0" w:color="auto"/>
        <w:bottom w:val="none" w:sz="0" w:space="0" w:color="auto"/>
        <w:right w:val="none" w:sz="0" w:space="0" w:color="auto"/>
      </w:divBdr>
    </w:div>
    <w:div w:id="891699627">
      <w:bodyDiv w:val="1"/>
      <w:marLeft w:val="0"/>
      <w:marRight w:val="0"/>
      <w:marTop w:val="0"/>
      <w:marBottom w:val="0"/>
      <w:divBdr>
        <w:top w:val="none" w:sz="0" w:space="0" w:color="auto"/>
        <w:left w:val="none" w:sz="0" w:space="0" w:color="auto"/>
        <w:bottom w:val="none" w:sz="0" w:space="0" w:color="auto"/>
        <w:right w:val="none" w:sz="0" w:space="0" w:color="auto"/>
      </w:divBdr>
    </w:div>
    <w:div w:id="920679713">
      <w:bodyDiv w:val="1"/>
      <w:marLeft w:val="0"/>
      <w:marRight w:val="0"/>
      <w:marTop w:val="0"/>
      <w:marBottom w:val="0"/>
      <w:divBdr>
        <w:top w:val="none" w:sz="0" w:space="0" w:color="auto"/>
        <w:left w:val="none" w:sz="0" w:space="0" w:color="auto"/>
        <w:bottom w:val="none" w:sz="0" w:space="0" w:color="auto"/>
        <w:right w:val="none" w:sz="0" w:space="0" w:color="auto"/>
      </w:divBdr>
    </w:div>
    <w:div w:id="948857717">
      <w:bodyDiv w:val="1"/>
      <w:marLeft w:val="0"/>
      <w:marRight w:val="0"/>
      <w:marTop w:val="0"/>
      <w:marBottom w:val="0"/>
      <w:divBdr>
        <w:top w:val="none" w:sz="0" w:space="0" w:color="auto"/>
        <w:left w:val="none" w:sz="0" w:space="0" w:color="auto"/>
        <w:bottom w:val="none" w:sz="0" w:space="0" w:color="auto"/>
        <w:right w:val="none" w:sz="0" w:space="0" w:color="auto"/>
      </w:divBdr>
      <w:divsChild>
        <w:div w:id="377322473">
          <w:marLeft w:val="0"/>
          <w:marRight w:val="0"/>
          <w:marTop w:val="0"/>
          <w:marBottom w:val="0"/>
          <w:divBdr>
            <w:top w:val="none" w:sz="0" w:space="0" w:color="auto"/>
            <w:left w:val="none" w:sz="0" w:space="0" w:color="auto"/>
            <w:bottom w:val="none" w:sz="0" w:space="0" w:color="auto"/>
            <w:right w:val="none" w:sz="0" w:space="0" w:color="auto"/>
          </w:divBdr>
        </w:div>
        <w:div w:id="1018695424">
          <w:marLeft w:val="0"/>
          <w:marRight w:val="0"/>
          <w:marTop w:val="0"/>
          <w:marBottom w:val="0"/>
          <w:divBdr>
            <w:top w:val="none" w:sz="0" w:space="0" w:color="auto"/>
            <w:left w:val="none" w:sz="0" w:space="0" w:color="auto"/>
            <w:bottom w:val="none" w:sz="0" w:space="0" w:color="auto"/>
            <w:right w:val="none" w:sz="0" w:space="0" w:color="auto"/>
          </w:divBdr>
        </w:div>
        <w:div w:id="55052163">
          <w:marLeft w:val="0"/>
          <w:marRight w:val="0"/>
          <w:marTop w:val="0"/>
          <w:marBottom w:val="0"/>
          <w:divBdr>
            <w:top w:val="none" w:sz="0" w:space="0" w:color="auto"/>
            <w:left w:val="none" w:sz="0" w:space="0" w:color="auto"/>
            <w:bottom w:val="none" w:sz="0" w:space="0" w:color="auto"/>
            <w:right w:val="none" w:sz="0" w:space="0" w:color="auto"/>
          </w:divBdr>
        </w:div>
        <w:div w:id="1233004582">
          <w:marLeft w:val="0"/>
          <w:marRight w:val="0"/>
          <w:marTop w:val="0"/>
          <w:marBottom w:val="0"/>
          <w:divBdr>
            <w:top w:val="none" w:sz="0" w:space="0" w:color="auto"/>
            <w:left w:val="none" w:sz="0" w:space="0" w:color="auto"/>
            <w:bottom w:val="none" w:sz="0" w:space="0" w:color="auto"/>
            <w:right w:val="none" w:sz="0" w:space="0" w:color="auto"/>
          </w:divBdr>
        </w:div>
        <w:div w:id="1411778389">
          <w:marLeft w:val="0"/>
          <w:marRight w:val="0"/>
          <w:marTop w:val="0"/>
          <w:marBottom w:val="0"/>
          <w:divBdr>
            <w:top w:val="none" w:sz="0" w:space="0" w:color="auto"/>
            <w:left w:val="none" w:sz="0" w:space="0" w:color="auto"/>
            <w:bottom w:val="none" w:sz="0" w:space="0" w:color="auto"/>
            <w:right w:val="none" w:sz="0" w:space="0" w:color="auto"/>
          </w:divBdr>
        </w:div>
        <w:div w:id="1059397931">
          <w:marLeft w:val="0"/>
          <w:marRight w:val="0"/>
          <w:marTop w:val="0"/>
          <w:marBottom w:val="0"/>
          <w:divBdr>
            <w:top w:val="none" w:sz="0" w:space="0" w:color="auto"/>
            <w:left w:val="none" w:sz="0" w:space="0" w:color="auto"/>
            <w:bottom w:val="none" w:sz="0" w:space="0" w:color="auto"/>
            <w:right w:val="none" w:sz="0" w:space="0" w:color="auto"/>
          </w:divBdr>
        </w:div>
        <w:div w:id="2078479743">
          <w:marLeft w:val="0"/>
          <w:marRight w:val="0"/>
          <w:marTop w:val="0"/>
          <w:marBottom w:val="0"/>
          <w:divBdr>
            <w:top w:val="none" w:sz="0" w:space="0" w:color="auto"/>
            <w:left w:val="none" w:sz="0" w:space="0" w:color="auto"/>
            <w:bottom w:val="none" w:sz="0" w:space="0" w:color="auto"/>
            <w:right w:val="none" w:sz="0" w:space="0" w:color="auto"/>
          </w:divBdr>
        </w:div>
        <w:div w:id="794449283">
          <w:marLeft w:val="0"/>
          <w:marRight w:val="0"/>
          <w:marTop w:val="0"/>
          <w:marBottom w:val="0"/>
          <w:divBdr>
            <w:top w:val="none" w:sz="0" w:space="0" w:color="auto"/>
            <w:left w:val="none" w:sz="0" w:space="0" w:color="auto"/>
            <w:bottom w:val="none" w:sz="0" w:space="0" w:color="auto"/>
            <w:right w:val="none" w:sz="0" w:space="0" w:color="auto"/>
          </w:divBdr>
        </w:div>
        <w:div w:id="914097331">
          <w:marLeft w:val="0"/>
          <w:marRight w:val="0"/>
          <w:marTop w:val="0"/>
          <w:marBottom w:val="0"/>
          <w:divBdr>
            <w:top w:val="none" w:sz="0" w:space="0" w:color="auto"/>
            <w:left w:val="none" w:sz="0" w:space="0" w:color="auto"/>
            <w:bottom w:val="none" w:sz="0" w:space="0" w:color="auto"/>
            <w:right w:val="none" w:sz="0" w:space="0" w:color="auto"/>
          </w:divBdr>
        </w:div>
        <w:div w:id="1050884409">
          <w:marLeft w:val="0"/>
          <w:marRight w:val="0"/>
          <w:marTop w:val="0"/>
          <w:marBottom w:val="0"/>
          <w:divBdr>
            <w:top w:val="none" w:sz="0" w:space="0" w:color="auto"/>
            <w:left w:val="none" w:sz="0" w:space="0" w:color="auto"/>
            <w:bottom w:val="none" w:sz="0" w:space="0" w:color="auto"/>
            <w:right w:val="none" w:sz="0" w:space="0" w:color="auto"/>
          </w:divBdr>
        </w:div>
        <w:div w:id="1288198593">
          <w:marLeft w:val="0"/>
          <w:marRight w:val="0"/>
          <w:marTop w:val="0"/>
          <w:marBottom w:val="0"/>
          <w:divBdr>
            <w:top w:val="none" w:sz="0" w:space="0" w:color="auto"/>
            <w:left w:val="none" w:sz="0" w:space="0" w:color="auto"/>
            <w:bottom w:val="none" w:sz="0" w:space="0" w:color="auto"/>
            <w:right w:val="none" w:sz="0" w:space="0" w:color="auto"/>
          </w:divBdr>
        </w:div>
        <w:div w:id="1599215388">
          <w:marLeft w:val="0"/>
          <w:marRight w:val="0"/>
          <w:marTop w:val="0"/>
          <w:marBottom w:val="0"/>
          <w:divBdr>
            <w:top w:val="none" w:sz="0" w:space="0" w:color="auto"/>
            <w:left w:val="none" w:sz="0" w:space="0" w:color="auto"/>
            <w:bottom w:val="none" w:sz="0" w:space="0" w:color="auto"/>
            <w:right w:val="none" w:sz="0" w:space="0" w:color="auto"/>
          </w:divBdr>
        </w:div>
        <w:div w:id="277104520">
          <w:marLeft w:val="0"/>
          <w:marRight w:val="0"/>
          <w:marTop w:val="0"/>
          <w:marBottom w:val="0"/>
          <w:divBdr>
            <w:top w:val="none" w:sz="0" w:space="0" w:color="auto"/>
            <w:left w:val="none" w:sz="0" w:space="0" w:color="auto"/>
            <w:bottom w:val="none" w:sz="0" w:space="0" w:color="auto"/>
            <w:right w:val="none" w:sz="0" w:space="0" w:color="auto"/>
          </w:divBdr>
        </w:div>
        <w:div w:id="1201942103">
          <w:marLeft w:val="0"/>
          <w:marRight w:val="0"/>
          <w:marTop w:val="0"/>
          <w:marBottom w:val="0"/>
          <w:divBdr>
            <w:top w:val="none" w:sz="0" w:space="0" w:color="auto"/>
            <w:left w:val="none" w:sz="0" w:space="0" w:color="auto"/>
            <w:bottom w:val="none" w:sz="0" w:space="0" w:color="auto"/>
            <w:right w:val="none" w:sz="0" w:space="0" w:color="auto"/>
          </w:divBdr>
        </w:div>
        <w:div w:id="1597864413">
          <w:marLeft w:val="0"/>
          <w:marRight w:val="0"/>
          <w:marTop w:val="0"/>
          <w:marBottom w:val="0"/>
          <w:divBdr>
            <w:top w:val="none" w:sz="0" w:space="0" w:color="auto"/>
            <w:left w:val="none" w:sz="0" w:space="0" w:color="auto"/>
            <w:bottom w:val="none" w:sz="0" w:space="0" w:color="auto"/>
            <w:right w:val="none" w:sz="0" w:space="0" w:color="auto"/>
          </w:divBdr>
        </w:div>
      </w:divsChild>
    </w:div>
    <w:div w:id="979111209">
      <w:bodyDiv w:val="1"/>
      <w:marLeft w:val="0"/>
      <w:marRight w:val="0"/>
      <w:marTop w:val="0"/>
      <w:marBottom w:val="0"/>
      <w:divBdr>
        <w:top w:val="none" w:sz="0" w:space="0" w:color="auto"/>
        <w:left w:val="none" w:sz="0" w:space="0" w:color="auto"/>
        <w:bottom w:val="none" w:sz="0" w:space="0" w:color="auto"/>
        <w:right w:val="none" w:sz="0" w:space="0" w:color="auto"/>
      </w:divBdr>
      <w:divsChild>
        <w:div w:id="1303120034">
          <w:marLeft w:val="0"/>
          <w:marRight w:val="0"/>
          <w:marTop w:val="0"/>
          <w:marBottom w:val="0"/>
          <w:divBdr>
            <w:top w:val="none" w:sz="0" w:space="0" w:color="auto"/>
            <w:left w:val="none" w:sz="0" w:space="0" w:color="auto"/>
            <w:bottom w:val="none" w:sz="0" w:space="0" w:color="auto"/>
            <w:right w:val="none" w:sz="0" w:space="0" w:color="auto"/>
          </w:divBdr>
        </w:div>
      </w:divsChild>
    </w:div>
    <w:div w:id="1156801130">
      <w:bodyDiv w:val="1"/>
      <w:marLeft w:val="0"/>
      <w:marRight w:val="0"/>
      <w:marTop w:val="0"/>
      <w:marBottom w:val="0"/>
      <w:divBdr>
        <w:top w:val="none" w:sz="0" w:space="0" w:color="auto"/>
        <w:left w:val="none" w:sz="0" w:space="0" w:color="auto"/>
        <w:bottom w:val="none" w:sz="0" w:space="0" w:color="auto"/>
        <w:right w:val="none" w:sz="0" w:space="0" w:color="auto"/>
      </w:divBdr>
      <w:divsChild>
        <w:div w:id="2101559209">
          <w:marLeft w:val="0"/>
          <w:marRight w:val="0"/>
          <w:marTop w:val="0"/>
          <w:marBottom w:val="0"/>
          <w:divBdr>
            <w:top w:val="none" w:sz="0" w:space="0" w:color="auto"/>
            <w:left w:val="none" w:sz="0" w:space="0" w:color="auto"/>
            <w:bottom w:val="none" w:sz="0" w:space="0" w:color="auto"/>
            <w:right w:val="none" w:sz="0" w:space="0" w:color="auto"/>
          </w:divBdr>
        </w:div>
      </w:divsChild>
    </w:div>
    <w:div w:id="1197039014">
      <w:bodyDiv w:val="1"/>
      <w:marLeft w:val="0"/>
      <w:marRight w:val="0"/>
      <w:marTop w:val="0"/>
      <w:marBottom w:val="0"/>
      <w:divBdr>
        <w:top w:val="none" w:sz="0" w:space="0" w:color="auto"/>
        <w:left w:val="none" w:sz="0" w:space="0" w:color="auto"/>
        <w:bottom w:val="none" w:sz="0" w:space="0" w:color="auto"/>
        <w:right w:val="none" w:sz="0" w:space="0" w:color="auto"/>
      </w:divBdr>
    </w:div>
    <w:div w:id="1250237087">
      <w:bodyDiv w:val="1"/>
      <w:marLeft w:val="0"/>
      <w:marRight w:val="0"/>
      <w:marTop w:val="0"/>
      <w:marBottom w:val="0"/>
      <w:divBdr>
        <w:top w:val="none" w:sz="0" w:space="0" w:color="auto"/>
        <w:left w:val="none" w:sz="0" w:space="0" w:color="auto"/>
        <w:bottom w:val="none" w:sz="0" w:space="0" w:color="auto"/>
        <w:right w:val="none" w:sz="0" w:space="0" w:color="auto"/>
      </w:divBdr>
    </w:div>
    <w:div w:id="1327175030">
      <w:bodyDiv w:val="1"/>
      <w:marLeft w:val="0"/>
      <w:marRight w:val="0"/>
      <w:marTop w:val="0"/>
      <w:marBottom w:val="0"/>
      <w:divBdr>
        <w:top w:val="none" w:sz="0" w:space="0" w:color="auto"/>
        <w:left w:val="none" w:sz="0" w:space="0" w:color="auto"/>
        <w:bottom w:val="none" w:sz="0" w:space="0" w:color="auto"/>
        <w:right w:val="none" w:sz="0" w:space="0" w:color="auto"/>
      </w:divBdr>
      <w:divsChild>
        <w:div w:id="562714235">
          <w:marLeft w:val="0"/>
          <w:marRight w:val="0"/>
          <w:marTop w:val="0"/>
          <w:marBottom w:val="0"/>
          <w:divBdr>
            <w:top w:val="none" w:sz="0" w:space="0" w:color="auto"/>
            <w:left w:val="none" w:sz="0" w:space="0" w:color="auto"/>
            <w:bottom w:val="none" w:sz="0" w:space="0" w:color="auto"/>
            <w:right w:val="none" w:sz="0" w:space="0" w:color="auto"/>
          </w:divBdr>
        </w:div>
      </w:divsChild>
    </w:div>
    <w:div w:id="1465080123">
      <w:bodyDiv w:val="1"/>
      <w:marLeft w:val="0"/>
      <w:marRight w:val="0"/>
      <w:marTop w:val="0"/>
      <w:marBottom w:val="0"/>
      <w:divBdr>
        <w:top w:val="none" w:sz="0" w:space="0" w:color="auto"/>
        <w:left w:val="none" w:sz="0" w:space="0" w:color="auto"/>
        <w:bottom w:val="none" w:sz="0" w:space="0" w:color="auto"/>
        <w:right w:val="none" w:sz="0" w:space="0" w:color="auto"/>
      </w:divBdr>
      <w:divsChild>
        <w:div w:id="1338925051">
          <w:marLeft w:val="0"/>
          <w:marRight w:val="0"/>
          <w:marTop w:val="0"/>
          <w:marBottom w:val="0"/>
          <w:divBdr>
            <w:top w:val="none" w:sz="0" w:space="0" w:color="auto"/>
            <w:left w:val="none" w:sz="0" w:space="0" w:color="auto"/>
            <w:bottom w:val="none" w:sz="0" w:space="0" w:color="auto"/>
            <w:right w:val="none" w:sz="0" w:space="0" w:color="auto"/>
          </w:divBdr>
        </w:div>
      </w:divsChild>
    </w:div>
    <w:div w:id="1527862363">
      <w:bodyDiv w:val="1"/>
      <w:marLeft w:val="0"/>
      <w:marRight w:val="0"/>
      <w:marTop w:val="0"/>
      <w:marBottom w:val="0"/>
      <w:divBdr>
        <w:top w:val="none" w:sz="0" w:space="0" w:color="auto"/>
        <w:left w:val="none" w:sz="0" w:space="0" w:color="auto"/>
        <w:bottom w:val="none" w:sz="0" w:space="0" w:color="auto"/>
        <w:right w:val="none" w:sz="0" w:space="0" w:color="auto"/>
      </w:divBdr>
    </w:div>
    <w:div w:id="1641037615">
      <w:bodyDiv w:val="1"/>
      <w:marLeft w:val="0"/>
      <w:marRight w:val="0"/>
      <w:marTop w:val="0"/>
      <w:marBottom w:val="0"/>
      <w:divBdr>
        <w:top w:val="none" w:sz="0" w:space="0" w:color="auto"/>
        <w:left w:val="none" w:sz="0" w:space="0" w:color="auto"/>
        <w:bottom w:val="none" w:sz="0" w:space="0" w:color="auto"/>
        <w:right w:val="none" w:sz="0" w:space="0" w:color="auto"/>
      </w:divBdr>
      <w:divsChild>
        <w:div w:id="865093418">
          <w:marLeft w:val="0"/>
          <w:marRight w:val="0"/>
          <w:marTop w:val="150"/>
          <w:marBottom w:val="168"/>
          <w:divBdr>
            <w:top w:val="none" w:sz="0" w:space="0" w:color="auto"/>
            <w:left w:val="none" w:sz="0" w:space="0" w:color="auto"/>
            <w:bottom w:val="none" w:sz="0" w:space="0" w:color="auto"/>
            <w:right w:val="none" w:sz="0" w:space="0" w:color="auto"/>
          </w:divBdr>
        </w:div>
        <w:div w:id="728646723">
          <w:marLeft w:val="0"/>
          <w:marRight w:val="0"/>
          <w:marTop w:val="0"/>
          <w:marBottom w:val="0"/>
          <w:divBdr>
            <w:top w:val="none" w:sz="0" w:space="0" w:color="auto"/>
            <w:left w:val="none" w:sz="0" w:space="0" w:color="auto"/>
            <w:bottom w:val="none" w:sz="0" w:space="0" w:color="auto"/>
            <w:right w:val="none" w:sz="0" w:space="0" w:color="auto"/>
          </w:divBdr>
        </w:div>
      </w:divsChild>
    </w:div>
    <w:div w:id="1669676590">
      <w:bodyDiv w:val="1"/>
      <w:marLeft w:val="0"/>
      <w:marRight w:val="0"/>
      <w:marTop w:val="0"/>
      <w:marBottom w:val="0"/>
      <w:divBdr>
        <w:top w:val="none" w:sz="0" w:space="0" w:color="auto"/>
        <w:left w:val="none" w:sz="0" w:space="0" w:color="auto"/>
        <w:bottom w:val="none" w:sz="0" w:space="0" w:color="auto"/>
        <w:right w:val="none" w:sz="0" w:space="0" w:color="auto"/>
      </w:divBdr>
    </w:div>
    <w:div w:id="1753818790">
      <w:bodyDiv w:val="1"/>
      <w:marLeft w:val="0"/>
      <w:marRight w:val="0"/>
      <w:marTop w:val="0"/>
      <w:marBottom w:val="0"/>
      <w:divBdr>
        <w:top w:val="none" w:sz="0" w:space="0" w:color="auto"/>
        <w:left w:val="none" w:sz="0" w:space="0" w:color="auto"/>
        <w:bottom w:val="none" w:sz="0" w:space="0" w:color="auto"/>
        <w:right w:val="none" w:sz="0" w:space="0" w:color="auto"/>
      </w:divBdr>
      <w:divsChild>
        <w:div w:id="871917231">
          <w:marLeft w:val="0"/>
          <w:marRight w:val="0"/>
          <w:marTop w:val="0"/>
          <w:marBottom w:val="0"/>
          <w:divBdr>
            <w:top w:val="none" w:sz="0" w:space="0" w:color="auto"/>
            <w:left w:val="none" w:sz="0" w:space="0" w:color="auto"/>
            <w:bottom w:val="none" w:sz="0" w:space="0" w:color="auto"/>
            <w:right w:val="none" w:sz="0" w:space="0" w:color="auto"/>
          </w:divBdr>
        </w:div>
      </w:divsChild>
    </w:div>
    <w:div w:id="1793012609">
      <w:bodyDiv w:val="1"/>
      <w:marLeft w:val="0"/>
      <w:marRight w:val="0"/>
      <w:marTop w:val="0"/>
      <w:marBottom w:val="0"/>
      <w:divBdr>
        <w:top w:val="none" w:sz="0" w:space="0" w:color="auto"/>
        <w:left w:val="none" w:sz="0" w:space="0" w:color="auto"/>
        <w:bottom w:val="none" w:sz="0" w:space="0" w:color="auto"/>
        <w:right w:val="none" w:sz="0" w:space="0" w:color="auto"/>
      </w:divBdr>
    </w:div>
    <w:div w:id="1808279740">
      <w:bodyDiv w:val="1"/>
      <w:marLeft w:val="0"/>
      <w:marRight w:val="0"/>
      <w:marTop w:val="0"/>
      <w:marBottom w:val="0"/>
      <w:divBdr>
        <w:top w:val="none" w:sz="0" w:space="0" w:color="auto"/>
        <w:left w:val="none" w:sz="0" w:space="0" w:color="auto"/>
        <w:bottom w:val="none" w:sz="0" w:space="0" w:color="auto"/>
        <w:right w:val="none" w:sz="0" w:space="0" w:color="auto"/>
      </w:divBdr>
      <w:divsChild>
        <w:div w:id="284582902">
          <w:marLeft w:val="0"/>
          <w:marRight w:val="0"/>
          <w:marTop w:val="0"/>
          <w:marBottom w:val="0"/>
          <w:divBdr>
            <w:top w:val="none" w:sz="0" w:space="0" w:color="auto"/>
            <w:left w:val="none" w:sz="0" w:space="0" w:color="auto"/>
            <w:bottom w:val="none" w:sz="0" w:space="0" w:color="auto"/>
            <w:right w:val="none" w:sz="0" w:space="0" w:color="auto"/>
          </w:divBdr>
        </w:div>
      </w:divsChild>
    </w:div>
    <w:div w:id="1872184550">
      <w:bodyDiv w:val="1"/>
      <w:marLeft w:val="0"/>
      <w:marRight w:val="0"/>
      <w:marTop w:val="0"/>
      <w:marBottom w:val="0"/>
      <w:divBdr>
        <w:top w:val="none" w:sz="0" w:space="0" w:color="auto"/>
        <w:left w:val="none" w:sz="0" w:space="0" w:color="auto"/>
        <w:bottom w:val="none" w:sz="0" w:space="0" w:color="auto"/>
        <w:right w:val="none" w:sz="0" w:space="0" w:color="auto"/>
      </w:divBdr>
    </w:div>
    <w:div w:id="2019037583">
      <w:bodyDiv w:val="1"/>
      <w:marLeft w:val="0"/>
      <w:marRight w:val="0"/>
      <w:marTop w:val="0"/>
      <w:marBottom w:val="0"/>
      <w:divBdr>
        <w:top w:val="none" w:sz="0" w:space="0" w:color="auto"/>
        <w:left w:val="none" w:sz="0" w:space="0" w:color="auto"/>
        <w:bottom w:val="none" w:sz="0" w:space="0" w:color="auto"/>
        <w:right w:val="none" w:sz="0" w:space="0" w:color="auto"/>
      </w:divBdr>
    </w:div>
    <w:div w:id="2056003751">
      <w:bodyDiv w:val="1"/>
      <w:marLeft w:val="0"/>
      <w:marRight w:val="0"/>
      <w:marTop w:val="0"/>
      <w:marBottom w:val="0"/>
      <w:divBdr>
        <w:top w:val="none" w:sz="0" w:space="0" w:color="auto"/>
        <w:left w:val="none" w:sz="0" w:space="0" w:color="auto"/>
        <w:bottom w:val="none" w:sz="0" w:space="0" w:color="auto"/>
        <w:right w:val="none" w:sz="0" w:space="0" w:color="auto"/>
      </w:divBdr>
    </w:div>
    <w:div w:id="21440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BCB47-36FE-4B28-A6B4-5443ACE2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3371</Words>
  <Characters>20230</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KANCELARIA</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KANCELARIA RADCY PRAWNEGO Katarzyna Tarnawa-Gwóźdź KANCELARIA RADCY PRAWNEGO Katarzyna Tarnawa-Gwóźdź</cp:lastModifiedBy>
  <cp:revision>2</cp:revision>
  <cp:lastPrinted>2026-06-11T19:52:00Z</cp:lastPrinted>
  <dcterms:created xsi:type="dcterms:W3CDTF">2026-06-11T21:08:00Z</dcterms:created>
  <dcterms:modified xsi:type="dcterms:W3CDTF">2026-06-11T21:08:00Z</dcterms:modified>
</cp:coreProperties>
</file>